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96597"/>
      <w:bookmarkStart w:id="2" w:name="_Toc15377425"/>
      <w:bookmarkStart w:id="3" w:name="_Toc15377193"/>
      <w:bookmarkStart w:id="4" w:name="_Toc15396475"/>
      <w:bookmarkStart w:id="5" w:name="_Toc15378441"/>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21</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15377194"/>
      <w:bookmarkStart w:id="7" w:name="_Toc15377426"/>
      <w:bookmarkStart w:id="8" w:name="_Toc15378442"/>
      <w:bookmarkStart w:id="9" w:name="_Toc15396598"/>
      <w:bookmarkStart w:id="10" w:name="_Toc15396476"/>
      <w:r>
        <w:rPr>
          <w:rFonts w:hint="eastAsia" w:ascii="方正小标宋简体" w:hAnsi="方正小标宋简体" w:eastAsia="方正小标宋简体" w:cs="方正小标宋简体"/>
          <w:color w:val="auto"/>
          <w:sz w:val="72"/>
          <w:szCs w:val="72"/>
          <w:highlight w:val="none"/>
        </w:rPr>
        <w:t>四川省</w:t>
      </w:r>
      <w:bookmarkEnd w:id="0"/>
      <w:bookmarkStart w:id="11" w:name="_Toc15306268"/>
      <w:r>
        <w:rPr>
          <w:rFonts w:hint="eastAsia" w:ascii="方正小标宋简体" w:hAnsi="方正小标宋简体" w:eastAsia="方正小标宋简体" w:cs="方正小标宋简体"/>
          <w:color w:val="auto"/>
          <w:sz w:val="72"/>
          <w:szCs w:val="72"/>
          <w:highlight w:val="none"/>
          <w:lang w:val="en-US" w:eastAsia="zh-CN"/>
        </w:rPr>
        <w:t>地质矿产勘查开发局二零七地质队</w:t>
      </w:r>
      <w:r>
        <w:rPr>
          <w:rFonts w:hint="eastAsia" w:ascii="方正小标宋简体" w:hAnsi="方正小标宋简体" w:eastAsia="方正小标宋简体" w:cs="方正小标宋简体"/>
          <w:color w:val="auto"/>
          <w:sz w:val="72"/>
          <w:szCs w:val="72"/>
          <w:highlight w:val="none"/>
          <w:lang w:eastAsia="zh-CN"/>
        </w:rPr>
        <w:t>单位</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3"/>
        <w:rPr>
          <w:color w:val="auto"/>
          <w:highlight w:val="none"/>
        </w:rPr>
      </w:pPr>
      <w:r>
        <w:rPr>
          <w:rFonts w:hint="eastAsia"/>
          <w:color w:val="auto"/>
          <w:highlight w:val="none"/>
        </w:rPr>
        <w:t>公开时间：20</w:t>
      </w:r>
      <w:r>
        <w:rPr>
          <w:rFonts w:hint="eastAsia"/>
          <w:color w:val="auto"/>
          <w:highlight w:val="none"/>
          <w:lang w:val="en-US" w:eastAsia="zh-CN"/>
        </w:rPr>
        <w:t>22</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9</w:t>
      </w:r>
      <w:r>
        <w:rPr>
          <w:rFonts w:hint="eastAsia"/>
          <w:color w:val="auto"/>
          <w:highlight w:val="none"/>
        </w:rPr>
        <w:t>日</w:t>
      </w:r>
    </w:p>
    <w:p>
      <w:pPr>
        <w:rPr>
          <w:color w:val="auto"/>
          <w:highlight w:val="none"/>
        </w:rPr>
      </w:pPr>
    </w:p>
    <w:p>
      <w:pPr>
        <w:pStyle w:val="13"/>
        <w:adjustRightInd w:val="0"/>
        <w:snapToGrid w:val="0"/>
        <w:spacing w:before="0" w:line="440" w:lineRule="exact"/>
        <w:jc w:val="left"/>
        <w:rPr>
          <w:rFonts w:hint="eastAsia" w:eastAsia="仿宋" w:cstheme="minorBidi"/>
          <w:b/>
          <w:bCs/>
          <w:color w:val="auto"/>
          <w:sz w:val="24"/>
          <w:szCs w:val="24"/>
          <w:lang w:val="en-US" w:eastAsia="zh-CN"/>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r>
        <w:rPr>
          <w:rFonts w:ascii="Times New Roman" w:hAnsi="Times New Roman" w:eastAsia="宋体" w:cs="Times New Roman"/>
          <w:b/>
          <w:kern w:val="2"/>
          <w:sz w:val="24"/>
          <w:szCs w:val="24"/>
          <w:lang w:val="en-US" w:eastAsia="zh-CN" w:bidi="ar-SA"/>
        </w:rPr>
        <w:t>…………………………………………………………………</w:t>
      </w:r>
      <w:r>
        <w:rPr>
          <w:rFonts w:hint="eastAsia" w:ascii="Times New Roman" w:hAnsi="Times New Roman" w:eastAsia="宋体" w:cs="Times New Roman"/>
          <w:b/>
          <w:kern w:val="2"/>
          <w:sz w:val="24"/>
          <w:szCs w:val="24"/>
          <w:lang w:val="en-US" w:eastAsia="zh-CN" w:bidi="ar-SA"/>
        </w:rPr>
        <w:t>..</w:t>
      </w:r>
      <w:r>
        <w:rPr>
          <w:rFonts w:hint="eastAsia"/>
          <w:b/>
          <w:sz w:val="24"/>
          <w:szCs w:val="24"/>
          <w:lang w:val="en-US" w:eastAsia="zh-CN"/>
        </w:rPr>
        <w:t>4</w:t>
      </w:r>
    </w:p>
    <w:p>
      <w:pPr>
        <w:pStyle w:val="14"/>
        <w:adjustRightInd w:val="0"/>
        <w:snapToGrid w:val="0"/>
        <w:spacing w:line="440" w:lineRule="exact"/>
        <w:jc w:val="left"/>
        <w:rPr>
          <w:rFonts w:hint="eastAsia" w:eastAsia="宋体"/>
          <w:color w:val="auto"/>
          <w:sz w:val="24"/>
          <w:highlight w:val="none"/>
          <w:lang w:eastAsia="zh-CN"/>
        </w:rPr>
      </w:pPr>
      <w:r>
        <w:rPr>
          <w:rFonts w:hint="eastAsia"/>
          <w:color w:val="auto"/>
          <w:sz w:val="24"/>
          <w:highlight w:val="none"/>
        </w:rPr>
        <w:t>一、职能</w:t>
      </w:r>
      <w:r>
        <w:rPr>
          <w:rFonts w:hint="eastAsia"/>
          <w:color w:val="auto"/>
          <w:sz w:val="24"/>
          <w:highlight w:val="none"/>
          <w:lang w:eastAsia="zh-CN"/>
        </w:rPr>
        <w:t>简介</w:t>
      </w:r>
      <w:r>
        <w:rPr>
          <w:rFonts w:ascii="Times New Roman" w:hAnsi="Times New Roman" w:eastAsia="宋体" w:cs="Times New Roman"/>
          <w:b/>
          <w:kern w:val="2"/>
          <w:sz w:val="24"/>
          <w:szCs w:val="24"/>
          <w:lang w:val="en-US" w:eastAsia="zh-CN" w:bidi="ar-SA"/>
        </w:rPr>
        <w:t>…………………………………………………………………</w:t>
      </w:r>
      <w:r>
        <w:rPr>
          <w:rFonts w:hint="eastAsia" w:ascii="Times New Roman" w:hAnsi="Times New Roman" w:eastAsia="宋体" w:cs="Times New Roman"/>
          <w:b/>
          <w:kern w:val="2"/>
          <w:sz w:val="24"/>
          <w:szCs w:val="24"/>
          <w:lang w:val="en-US" w:eastAsia="zh-CN" w:bidi="ar-SA"/>
        </w:rPr>
        <w:t>.</w:t>
      </w:r>
      <w:r>
        <w:rPr>
          <w:rFonts w:ascii="Times New Roman" w:hAnsi="Times New Roman" w:eastAsia="宋体" w:cs="Times New Roman"/>
          <w:b/>
          <w:kern w:val="2"/>
          <w:sz w:val="24"/>
          <w:szCs w:val="24"/>
          <w:lang w:val="en-US" w:eastAsia="zh-CN" w:bidi="ar-SA"/>
        </w:rPr>
        <w:t>…</w:t>
      </w:r>
      <w:r>
        <w:rPr>
          <w:rFonts w:hint="eastAsia" w:ascii="Times New Roman" w:hAnsi="Times New Roman" w:eastAsia="宋体" w:cs="Times New Roman"/>
          <w:b/>
          <w:kern w:val="2"/>
          <w:sz w:val="24"/>
          <w:szCs w:val="24"/>
          <w:lang w:val="en-US" w:eastAsia="zh-CN" w:bidi="ar-SA"/>
        </w:rPr>
        <w:t>4</w:t>
      </w:r>
    </w:p>
    <w:p>
      <w:pPr>
        <w:pStyle w:val="14"/>
        <w:adjustRightInd w:val="0"/>
        <w:snapToGrid w:val="0"/>
        <w:spacing w:line="440" w:lineRule="exact"/>
        <w:jc w:val="left"/>
        <w:rPr>
          <w:rFonts w:hint="eastAsia" w:ascii="Times New Roman" w:hAnsi="Times New Roman" w:eastAsia="宋体" w:cs="Times New Roman"/>
          <w:b/>
          <w:kern w:val="2"/>
          <w:sz w:val="24"/>
          <w:szCs w:val="24"/>
          <w:lang w:val="en-US" w:eastAsia="zh-CN" w:bidi="ar-SA"/>
        </w:rPr>
      </w:pPr>
      <w:r>
        <w:rPr>
          <w:rFonts w:hint="eastAsia" w:asciiTheme="minorEastAsia" w:hAnsiTheme="minorEastAsia" w:eastAsiaTheme="minorEastAsia" w:cstheme="minorEastAsia"/>
          <w:color w:val="auto"/>
          <w:sz w:val="24"/>
          <w:highlight w:val="none"/>
          <w:lang w:eastAsia="zh-CN"/>
        </w:rPr>
        <w:t>二、</w:t>
      </w:r>
      <w:r>
        <w:rPr>
          <w:rFonts w:hint="eastAsia" w:asciiTheme="minorEastAsia" w:hAnsiTheme="minorEastAsia" w:eastAsiaTheme="minorEastAsia" w:cstheme="minorEastAsia"/>
          <w:color w:val="auto"/>
          <w:sz w:val="24"/>
          <w:highlight w:val="none"/>
          <w:lang w:val="en-US" w:eastAsia="zh-CN"/>
        </w:rPr>
        <w:t>2021年重点</w:t>
      </w:r>
      <w:r>
        <w:rPr>
          <w:rFonts w:hint="eastAsia" w:asciiTheme="minorEastAsia" w:hAnsiTheme="minorEastAsia" w:eastAsiaTheme="minorEastAsia" w:cstheme="minorEastAsia"/>
          <w:color w:val="auto"/>
          <w:sz w:val="24"/>
          <w:highlight w:val="none"/>
        </w:rPr>
        <w:t>工作</w:t>
      </w:r>
      <w:r>
        <w:rPr>
          <w:rFonts w:hint="eastAsia" w:asciiTheme="minorEastAsia" w:hAnsiTheme="minorEastAsia" w:eastAsiaTheme="minorEastAsia" w:cstheme="minorEastAsia"/>
          <w:color w:val="auto"/>
          <w:sz w:val="24"/>
          <w:highlight w:val="none"/>
          <w:lang w:eastAsia="zh-CN"/>
        </w:rPr>
        <w:t>完成情况</w:t>
      </w:r>
      <w:r>
        <w:rPr>
          <w:rFonts w:ascii="Times New Roman" w:hAnsi="Times New Roman" w:eastAsia="宋体" w:cs="Times New Roman"/>
          <w:b/>
          <w:kern w:val="2"/>
          <w:sz w:val="24"/>
          <w:szCs w:val="24"/>
          <w:lang w:val="en-US" w:eastAsia="zh-CN" w:bidi="ar-SA"/>
        </w:rPr>
        <w:t>……………………………………………</w:t>
      </w:r>
      <w:r>
        <w:rPr>
          <w:rFonts w:hint="eastAsia" w:ascii="Times New Roman" w:hAnsi="Times New Roman" w:eastAsia="宋体" w:cs="Times New Roman"/>
          <w:b/>
          <w:kern w:val="2"/>
          <w:sz w:val="24"/>
          <w:szCs w:val="24"/>
          <w:lang w:val="en-US" w:eastAsia="zh-CN" w:bidi="ar-SA"/>
        </w:rPr>
        <w:t>...</w:t>
      </w:r>
      <w:r>
        <w:rPr>
          <w:rFonts w:ascii="Times New Roman" w:hAnsi="Times New Roman" w:eastAsia="宋体" w:cs="Times New Roman"/>
          <w:b/>
          <w:kern w:val="2"/>
          <w:sz w:val="24"/>
          <w:szCs w:val="24"/>
          <w:lang w:val="en-US" w:eastAsia="zh-CN" w:bidi="ar-SA"/>
        </w:rPr>
        <w:t>…</w:t>
      </w:r>
      <w:r>
        <w:rPr>
          <w:rFonts w:hint="eastAsia" w:ascii="Times New Roman" w:hAnsi="Times New Roman" w:eastAsia="宋体" w:cs="Times New Roman"/>
          <w:b/>
          <w:kern w:val="2"/>
          <w:sz w:val="24"/>
          <w:szCs w:val="24"/>
          <w:lang w:val="en-US" w:eastAsia="zh-CN" w:bidi="ar-SA"/>
        </w:rPr>
        <w:t>.4</w:t>
      </w:r>
    </w:p>
    <w:p>
      <w:pPr>
        <w:rPr>
          <w:rFonts w:hint="default" w:ascii="Times New Roman" w:hAnsi="Times New Roman" w:eastAsia="宋体" w:cs="Times New Roman"/>
          <w:color w:val="auto"/>
          <w:kern w:val="2"/>
          <w:sz w:val="24"/>
          <w:szCs w:val="24"/>
          <w:highlight w:val="none"/>
          <w:lang w:val="en-US" w:eastAsia="zh-CN" w:bidi="ar-SA"/>
        </w:rPr>
      </w:pPr>
      <w:r>
        <w:rPr>
          <w:rFonts w:hint="eastAsia" w:cs="Times New Roman"/>
          <w:b/>
          <w:kern w:val="2"/>
          <w:sz w:val="24"/>
          <w:szCs w:val="24"/>
          <w:lang w:val="en-US" w:eastAsia="zh-CN" w:bidi="ar-SA"/>
        </w:rPr>
        <w:t xml:space="preserve"> </w:t>
      </w:r>
      <w:r>
        <w:rPr>
          <w:rFonts w:hint="eastAsia" w:ascii="Times New Roman" w:hAnsi="Times New Roman" w:eastAsia="宋体" w:cs="Times New Roman"/>
          <w:color w:val="auto"/>
          <w:kern w:val="2"/>
          <w:sz w:val="24"/>
          <w:szCs w:val="24"/>
          <w:highlight w:val="none"/>
          <w:lang w:val="en-US" w:eastAsia="zh-CN" w:bidi="ar-SA"/>
        </w:rPr>
        <w:t xml:space="preserve">   三、机构设置情况………………………………………………………………</w:t>
      </w:r>
      <w:r>
        <w:rPr>
          <w:rFonts w:hint="eastAsia" w:ascii="Times New Roman" w:hAnsi="Times New Roman" w:eastAsia="宋体" w:cs="Times New Roman"/>
          <w:b/>
          <w:kern w:val="2"/>
          <w:sz w:val="24"/>
          <w:szCs w:val="24"/>
          <w:lang w:val="en-US" w:eastAsia="zh-CN" w:bidi="ar-SA"/>
        </w:rPr>
        <w:t>7</w:t>
      </w:r>
    </w:p>
    <w:p>
      <w:pPr>
        <w:pStyle w:val="13"/>
        <w:adjustRightInd w:val="0"/>
        <w:snapToGrid w:val="0"/>
        <w:spacing w:before="0" w:line="440" w:lineRule="exact"/>
        <w:jc w:val="left"/>
        <w:rPr>
          <w:color w:val="auto"/>
          <w:sz w:val="24"/>
          <w:szCs w:val="24"/>
          <w:highlight w:val="none"/>
        </w:rPr>
      </w:pPr>
      <w:r>
        <w:rPr>
          <w:rFonts w:hint="eastAsia"/>
          <w:color w:val="auto"/>
          <w:sz w:val="24"/>
          <w:highlight w:val="none"/>
        </w:rPr>
        <w:t>第二部分</w:t>
      </w:r>
      <w:r>
        <w:rPr>
          <w:rFonts w:hint="eastAsia"/>
          <w:color w:val="auto"/>
          <w:sz w:val="24"/>
          <w:highlight w:val="none"/>
          <w:lang w:val="en-US" w:eastAsia="zh-CN"/>
        </w:rPr>
        <w:t xml:space="preserve"> 2021年度</w:t>
      </w:r>
      <w:r>
        <w:rPr>
          <w:rFonts w:hint="eastAsia"/>
          <w:color w:val="auto"/>
          <w:sz w:val="24"/>
          <w:highlight w:val="none"/>
          <w:lang w:eastAsia="zh-CN"/>
        </w:rPr>
        <w:t>单位</w:t>
      </w:r>
      <w:r>
        <w:rPr>
          <w:rFonts w:hint="eastAsia"/>
          <w:color w:val="auto"/>
          <w:sz w:val="24"/>
          <w:highlight w:val="none"/>
        </w:rPr>
        <w:t>决算情况说明</w:t>
      </w:r>
      <w:r>
        <w:rPr>
          <w:rFonts w:ascii="Times New Roman" w:hAnsi="Times New Roman" w:eastAsia="宋体" w:cs="Times New Roman"/>
          <w:b/>
          <w:kern w:val="2"/>
          <w:sz w:val="24"/>
          <w:szCs w:val="24"/>
          <w:lang w:val="en-US" w:eastAsia="zh-CN" w:bidi="ar-SA"/>
        </w:rPr>
        <w:t>…………………………………………</w:t>
      </w:r>
      <w:r>
        <w:rPr>
          <w:rFonts w:hint="eastAsia" w:ascii="Times New Roman" w:hAnsi="Times New Roman" w:eastAsia="宋体" w:cs="Times New Roman"/>
          <w:b/>
          <w:kern w:val="2"/>
          <w:sz w:val="24"/>
          <w:szCs w:val="24"/>
          <w:lang w:val="en-US" w:eastAsia="zh-CN" w:bidi="ar-SA"/>
        </w:rPr>
        <w:t>.....8</w:t>
      </w:r>
    </w:p>
    <w:p>
      <w:pPr>
        <w:pStyle w:val="14"/>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一、收入支出决算总体情况说明</w:t>
      </w:r>
      <w:r>
        <w:rPr>
          <w:rFonts w:ascii="Times New Roman" w:hAnsi="Times New Roman" w:eastAsia="宋体" w:cs="Times New Roman"/>
          <w:b/>
          <w:kern w:val="2"/>
          <w:sz w:val="24"/>
          <w:szCs w:val="24"/>
          <w:lang w:val="en-US" w:eastAsia="zh-CN" w:bidi="ar-SA"/>
        </w:rPr>
        <w:t>………………………………………………</w:t>
      </w:r>
      <w:r>
        <w:rPr>
          <w:rFonts w:hint="eastAsia" w:ascii="Times New Roman" w:hAnsi="Times New Roman" w:eastAsia="宋体" w:cs="Times New Roman"/>
          <w:b/>
          <w:kern w:val="2"/>
          <w:sz w:val="24"/>
          <w:szCs w:val="24"/>
          <w:lang w:val="en-US" w:eastAsia="zh-CN" w:bidi="ar-SA"/>
        </w:rPr>
        <w:t>.</w:t>
      </w:r>
      <w:r>
        <w:rPr>
          <w:rFonts w:hint="eastAsia" w:cs="Times New Roman"/>
          <w:b/>
          <w:kern w:val="2"/>
          <w:sz w:val="24"/>
          <w:szCs w:val="24"/>
          <w:lang w:val="en-US" w:eastAsia="zh-CN" w:bidi="ar-SA"/>
        </w:rPr>
        <w:t>8</w:t>
      </w:r>
    </w:p>
    <w:p>
      <w:pPr>
        <w:pStyle w:val="14"/>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二、收入决算情况说明</w:t>
      </w:r>
      <w:r>
        <w:rPr>
          <w:rFonts w:ascii="Times New Roman" w:hAnsi="Times New Roman" w:eastAsia="宋体" w:cs="Times New Roman"/>
          <w:b/>
          <w:kern w:val="2"/>
          <w:sz w:val="24"/>
          <w:szCs w:val="24"/>
          <w:lang w:val="en-US" w:eastAsia="zh-CN" w:bidi="ar-SA"/>
        </w:rPr>
        <w:t>………………………………………………………</w:t>
      </w:r>
      <w:r>
        <w:rPr>
          <w:rFonts w:hint="eastAsia" w:ascii="Times New Roman" w:hAnsi="Times New Roman" w:eastAsia="宋体" w:cs="Times New Roman"/>
          <w:b/>
          <w:kern w:val="2"/>
          <w:sz w:val="24"/>
          <w:szCs w:val="24"/>
          <w:lang w:val="en-US" w:eastAsia="zh-CN" w:bidi="ar-SA"/>
        </w:rPr>
        <w:t>..</w:t>
      </w:r>
      <w:r>
        <w:rPr>
          <w:rFonts w:hint="eastAsia" w:cs="Times New Roman"/>
          <w:b/>
          <w:kern w:val="2"/>
          <w:sz w:val="24"/>
          <w:szCs w:val="24"/>
          <w:lang w:val="en-US" w:eastAsia="zh-CN" w:bidi="ar-SA"/>
        </w:rPr>
        <w:t>...</w:t>
      </w:r>
      <w:r>
        <w:rPr>
          <w:rFonts w:hint="eastAsia" w:ascii="Times New Roman" w:hAnsi="Times New Roman" w:eastAsia="宋体" w:cs="Times New Roman"/>
          <w:b/>
          <w:kern w:val="2"/>
          <w:sz w:val="24"/>
          <w:szCs w:val="24"/>
          <w:lang w:val="en-US" w:eastAsia="zh-CN" w:bidi="ar-SA"/>
        </w:rPr>
        <w:t>.</w:t>
      </w:r>
      <w:r>
        <w:rPr>
          <w:rFonts w:hint="eastAsia" w:cs="Times New Roman"/>
          <w:b/>
          <w:kern w:val="2"/>
          <w:sz w:val="24"/>
          <w:szCs w:val="24"/>
          <w:lang w:val="en-US" w:eastAsia="zh-CN" w:bidi="ar-SA"/>
        </w:rPr>
        <w:t>8</w:t>
      </w:r>
    </w:p>
    <w:p>
      <w:pPr>
        <w:pStyle w:val="14"/>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三、支出决算情况说明</w:t>
      </w:r>
      <w:r>
        <w:rPr>
          <w:rFonts w:ascii="Times New Roman" w:hAnsi="Times New Roman" w:eastAsia="宋体" w:cs="Times New Roman"/>
          <w:b/>
          <w:kern w:val="2"/>
          <w:sz w:val="24"/>
          <w:szCs w:val="24"/>
          <w:lang w:val="en-US" w:eastAsia="zh-CN" w:bidi="ar-SA"/>
        </w:rPr>
        <w:t>………………………………………………………</w:t>
      </w:r>
      <w:r>
        <w:rPr>
          <w:rFonts w:hint="eastAsia" w:ascii="Times New Roman" w:hAnsi="Times New Roman" w:eastAsia="宋体" w:cs="Times New Roman"/>
          <w:b/>
          <w:kern w:val="2"/>
          <w:sz w:val="24"/>
          <w:szCs w:val="24"/>
          <w:lang w:val="en-US" w:eastAsia="zh-CN" w:bidi="ar-SA"/>
        </w:rPr>
        <w:t>..</w:t>
      </w:r>
      <w:r>
        <w:rPr>
          <w:rFonts w:hint="eastAsia" w:cs="Times New Roman"/>
          <w:b/>
          <w:kern w:val="2"/>
          <w:sz w:val="24"/>
          <w:szCs w:val="24"/>
          <w:lang w:val="en-US" w:eastAsia="zh-CN" w:bidi="ar-SA"/>
        </w:rPr>
        <w:t>..</w:t>
      </w:r>
      <w:bookmarkStart w:id="66" w:name="_GoBack"/>
      <w:bookmarkEnd w:id="66"/>
      <w:r>
        <w:rPr>
          <w:rFonts w:hint="eastAsia" w:ascii="Times New Roman" w:hAnsi="Times New Roman" w:eastAsia="宋体" w:cs="Times New Roman"/>
          <w:b/>
          <w:kern w:val="2"/>
          <w:sz w:val="24"/>
          <w:szCs w:val="24"/>
          <w:lang w:val="en-US" w:eastAsia="zh-CN" w:bidi="ar-SA"/>
        </w:rPr>
        <w:t>.</w:t>
      </w:r>
      <w:r>
        <w:rPr>
          <w:rFonts w:hint="eastAsia" w:cs="Times New Roman"/>
          <w:b/>
          <w:kern w:val="2"/>
          <w:sz w:val="24"/>
          <w:szCs w:val="24"/>
          <w:lang w:val="en-US" w:eastAsia="zh-CN" w:bidi="ar-SA"/>
        </w:rPr>
        <w:t>9</w:t>
      </w:r>
    </w:p>
    <w:p>
      <w:pPr>
        <w:pStyle w:val="14"/>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四、财政拨款收入支出决算总体情况说明</w:t>
      </w:r>
      <w:r>
        <w:rPr>
          <w:rFonts w:ascii="Times New Roman" w:hAnsi="Times New Roman" w:eastAsia="宋体" w:cs="Times New Roman"/>
          <w:b/>
          <w:kern w:val="2"/>
          <w:sz w:val="24"/>
          <w:szCs w:val="24"/>
          <w:lang w:val="en-US" w:eastAsia="zh-CN" w:bidi="ar-SA"/>
        </w:rPr>
        <w:t>……………………………………</w:t>
      </w:r>
      <w:r>
        <w:rPr>
          <w:rFonts w:hint="eastAsia" w:cs="Times New Roman"/>
          <w:b/>
          <w:kern w:val="2"/>
          <w:sz w:val="24"/>
          <w:szCs w:val="24"/>
          <w:lang w:val="en-US" w:eastAsia="zh-CN" w:bidi="ar-SA"/>
        </w:rPr>
        <w:t>10</w:t>
      </w:r>
    </w:p>
    <w:p>
      <w:pPr>
        <w:pStyle w:val="14"/>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五、一般公共预算财政拨款支出决算情况说明</w:t>
      </w:r>
      <w:r>
        <w:rPr>
          <w:rFonts w:ascii="Times New Roman" w:hAnsi="Times New Roman" w:eastAsia="宋体" w:cs="Times New Roman"/>
          <w:b/>
          <w:kern w:val="2"/>
          <w:sz w:val="24"/>
          <w:szCs w:val="24"/>
          <w:lang w:val="en-US" w:eastAsia="zh-CN" w:bidi="ar-SA"/>
        </w:rPr>
        <w:t>………………………………</w:t>
      </w:r>
      <w:r>
        <w:rPr>
          <w:rFonts w:hint="eastAsia" w:ascii="Times New Roman" w:hAnsi="Times New Roman" w:eastAsia="宋体" w:cs="Times New Roman"/>
          <w:b/>
          <w:kern w:val="2"/>
          <w:sz w:val="24"/>
          <w:szCs w:val="24"/>
          <w:lang w:val="en-US" w:eastAsia="zh-CN" w:bidi="ar-SA"/>
        </w:rPr>
        <w:t>1</w:t>
      </w:r>
      <w:r>
        <w:rPr>
          <w:rFonts w:hint="eastAsia" w:cs="Times New Roman"/>
          <w:b/>
          <w:kern w:val="2"/>
          <w:sz w:val="24"/>
          <w:szCs w:val="24"/>
          <w:lang w:val="en-US" w:eastAsia="zh-CN" w:bidi="ar-SA"/>
        </w:rPr>
        <w:t>1</w:t>
      </w:r>
    </w:p>
    <w:p>
      <w:pPr>
        <w:pStyle w:val="14"/>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六、一般公共预算财政拨款基本支出决算情况说明</w:t>
      </w:r>
      <w:r>
        <w:rPr>
          <w:rFonts w:ascii="Times New Roman" w:hAnsi="Times New Roman" w:eastAsia="宋体" w:cs="Times New Roman"/>
          <w:b/>
          <w:kern w:val="2"/>
          <w:sz w:val="24"/>
          <w:szCs w:val="24"/>
          <w:lang w:val="en-US" w:eastAsia="zh-CN" w:bidi="ar-SA"/>
        </w:rPr>
        <w:t>…………………………</w:t>
      </w:r>
      <w:r>
        <w:rPr>
          <w:rFonts w:hint="eastAsia" w:ascii="Times New Roman" w:hAnsi="Times New Roman" w:eastAsia="宋体" w:cs="Times New Roman"/>
          <w:b/>
          <w:kern w:val="2"/>
          <w:sz w:val="24"/>
          <w:szCs w:val="24"/>
          <w:lang w:val="en-US" w:eastAsia="zh-CN" w:bidi="ar-SA"/>
        </w:rPr>
        <w:t>.1</w:t>
      </w:r>
      <w:r>
        <w:rPr>
          <w:rFonts w:hint="eastAsia" w:cs="Times New Roman"/>
          <w:b/>
          <w:kern w:val="2"/>
          <w:sz w:val="24"/>
          <w:szCs w:val="24"/>
          <w:lang w:val="en-US" w:eastAsia="zh-CN" w:bidi="ar-SA"/>
        </w:rPr>
        <w:t>4</w:t>
      </w:r>
    </w:p>
    <w:p>
      <w:pPr>
        <w:pStyle w:val="14"/>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七、</w:t>
      </w:r>
      <w:r>
        <w:rPr>
          <w:rFonts w:hint="eastAsia"/>
          <w:color w:val="auto"/>
          <w:sz w:val="24"/>
          <w:highlight w:val="none"/>
          <w:lang w:eastAsia="zh-CN"/>
        </w:rPr>
        <w:t>“</w:t>
      </w:r>
      <w:r>
        <w:rPr>
          <w:rFonts w:hint="eastAsia"/>
          <w:color w:val="auto"/>
          <w:sz w:val="24"/>
          <w:highlight w:val="none"/>
        </w:rPr>
        <w:t>三公”经费财政拨款支出决算情况说明</w:t>
      </w:r>
      <w:r>
        <w:rPr>
          <w:rFonts w:ascii="Times New Roman" w:hAnsi="Times New Roman" w:eastAsia="宋体" w:cs="Times New Roman"/>
          <w:b/>
          <w:kern w:val="2"/>
          <w:sz w:val="24"/>
          <w:szCs w:val="24"/>
          <w:lang w:val="en-US" w:eastAsia="zh-CN" w:bidi="ar-SA"/>
        </w:rPr>
        <w:t>……………………………</w:t>
      </w:r>
      <w:r>
        <w:rPr>
          <w:rFonts w:hint="eastAsia" w:ascii="Times New Roman" w:hAnsi="Times New Roman" w:eastAsia="宋体" w:cs="Times New Roman"/>
          <w:b/>
          <w:kern w:val="2"/>
          <w:sz w:val="24"/>
          <w:szCs w:val="24"/>
          <w:lang w:val="en-US" w:eastAsia="zh-CN" w:bidi="ar-SA"/>
        </w:rPr>
        <w:t>.</w:t>
      </w:r>
      <w:r>
        <w:rPr>
          <w:rFonts w:ascii="Times New Roman" w:hAnsi="Times New Roman" w:eastAsia="宋体" w:cs="Times New Roman"/>
          <w:b/>
          <w:kern w:val="2"/>
          <w:sz w:val="24"/>
          <w:szCs w:val="24"/>
          <w:lang w:val="en-US" w:eastAsia="zh-CN" w:bidi="ar-SA"/>
        </w:rPr>
        <w:t>…</w:t>
      </w:r>
      <w:r>
        <w:rPr>
          <w:rFonts w:hint="eastAsia" w:ascii="Times New Roman" w:hAnsi="Times New Roman" w:eastAsia="宋体" w:cs="Times New Roman"/>
          <w:b/>
          <w:kern w:val="2"/>
          <w:sz w:val="24"/>
          <w:szCs w:val="24"/>
          <w:lang w:val="en-US" w:eastAsia="zh-CN" w:bidi="ar-SA"/>
        </w:rPr>
        <w:t>1</w:t>
      </w:r>
      <w:r>
        <w:rPr>
          <w:rFonts w:hint="eastAsia" w:cs="Times New Roman"/>
          <w:b/>
          <w:kern w:val="2"/>
          <w:sz w:val="24"/>
          <w:szCs w:val="24"/>
          <w:lang w:val="en-US" w:eastAsia="zh-CN" w:bidi="ar-SA"/>
        </w:rPr>
        <w:t>5</w:t>
      </w:r>
    </w:p>
    <w:p>
      <w:pPr>
        <w:pStyle w:val="14"/>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八、政府性基金预算支出决算情况说明</w:t>
      </w:r>
      <w:r>
        <w:rPr>
          <w:rFonts w:ascii="Times New Roman" w:hAnsi="Times New Roman" w:eastAsia="宋体" w:cs="Times New Roman"/>
          <w:b/>
          <w:kern w:val="2"/>
          <w:sz w:val="24"/>
          <w:szCs w:val="24"/>
          <w:lang w:val="en-US" w:eastAsia="zh-CN" w:bidi="ar-SA"/>
        </w:rPr>
        <w:t>……………………………………</w:t>
      </w:r>
      <w:r>
        <w:rPr>
          <w:rFonts w:hint="eastAsia" w:ascii="Times New Roman" w:hAnsi="Times New Roman" w:eastAsia="宋体" w:cs="Times New Roman"/>
          <w:b/>
          <w:kern w:val="2"/>
          <w:sz w:val="24"/>
          <w:szCs w:val="24"/>
          <w:lang w:val="en-US" w:eastAsia="zh-CN" w:bidi="ar-SA"/>
        </w:rPr>
        <w:t>.....1</w:t>
      </w:r>
      <w:r>
        <w:rPr>
          <w:rFonts w:hint="eastAsia" w:cs="Times New Roman"/>
          <w:b/>
          <w:kern w:val="2"/>
          <w:sz w:val="24"/>
          <w:szCs w:val="24"/>
          <w:lang w:val="en-US" w:eastAsia="zh-CN" w:bidi="ar-SA"/>
        </w:rPr>
        <w:t>5</w:t>
      </w:r>
    </w:p>
    <w:p>
      <w:pPr>
        <w:pStyle w:val="14"/>
        <w:adjustRightInd w:val="0"/>
        <w:snapToGrid w:val="0"/>
        <w:spacing w:line="440" w:lineRule="exact"/>
        <w:jc w:val="left"/>
        <w:rPr>
          <w:rFonts w:hint="eastAsia"/>
          <w:color w:val="auto"/>
          <w:sz w:val="24"/>
          <w:highlight w:val="none"/>
        </w:rPr>
      </w:pPr>
      <w:r>
        <w:rPr>
          <w:rFonts w:hint="eastAsia"/>
          <w:color w:val="auto"/>
          <w:sz w:val="24"/>
          <w:highlight w:val="none"/>
        </w:rPr>
        <w:t>九、国有资本经营预算支出决算情况说明</w:t>
      </w:r>
      <w:r>
        <w:rPr>
          <w:rFonts w:ascii="Times New Roman" w:hAnsi="Times New Roman" w:eastAsia="宋体" w:cs="Times New Roman"/>
          <w:b/>
          <w:kern w:val="2"/>
          <w:sz w:val="24"/>
          <w:szCs w:val="24"/>
          <w:lang w:val="en-US" w:eastAsia="zh-CN" w:bidi="ar-SA"/>
        </w:rPr>
        <w:t>…………………………………</w:t>
      </w:r>
      <w:r>
        <w:rPr>
          <w:rFonts w:hint="eastAsia" w:ascii="Times New Roman" w:hAnsi="Times New Roman" w:eastAsia="宋体" w:cs="Times New Roman"/>
          <w:b/>
          <w:kern w:val="2"/>
          <w:sz w:val="24"/>
          <w:szCs w:val="24"/>
          <w:lang w:val="en-US" w:eastAsia="zh-CN" w:bidi="ar-SA"/>
        </w:rPr>
        <w:t>.</w:t>
      </w:r>
      <w:r>
        <w:rPr>
          <w:rFonts w:ascii="Times New Roman" w:hAnsi="Times New Roman" w:eastAsia="宋体" w:cs="Times New Roman"/>
          <w:b/>
          <w:kern w:val="2"/>
          <w:sz w:val="24"/>
          <w:szCs w:val="24"/>
          <w:lang w:val="en-US" w:eastAsia="zh-CN" w:bidi="ar-SA"/>
        </w:rPr>
        <w:t>…</w:t>
      </w:r>
      <w:r>
        <w:rPr>
          <w:rFonts w:hint="eastAsia" w:ascii="Times New Roman" w:hAnsi="Times New Roman" w:eastAsia="宋体" w:cs="Times New Roman"/>
          <w:b/>
          <w:kern w:val="2"/>
          <w:sz w:val="24"/>
          <w:szCs w:val="24"/>
          <w:lang w:val="en-US" w:eastAsia="zh-CN" w:bidi="ar-SA"/>
        </w:rPr>
        <w:t>1</w:t>
      </w:r>
      <w:r>
        <w:rPr>
          <w:rFonts w:hint="eastAsia" w:cs="Times New Roman"/>
          <w:b/>
          <w:kern w:val="2"/>
          <w:sz w:val="24"/>
          <w:szCs w:val="24"/>
          <w:lang w:val="en-US" w:eastAsia="zh-CN" w:bidi="ar-SA"/>
        </w:rPr>
        <w:t>5</w:t>
      </w:r>
    </w:p>
    <w:p>
      <w:pPr>
        <w:pStyle w:val="14"/>
        <w:adjustRightInd w:val="0"/>
        <w:snapToGrid w:val="0"/>
        <w:spacing w:line="440" w:lineRule="exact"/>
        <w:jc w:val="left"/>
        <w:rPr>
          <w:rFonts w:hint="eastAsia"/>
          <w:color w:val="auto"/>
          <w:sz w:val="24"/>
          <w:highlight w:val="none"/>
          <w:lang w:eastAsia="zh-CN"/>
        </w:rPr>
      </w:pPr>
      <w:r>
        <w:rPr>
          <w:rFonts w:hint="eastAsia"/>
          <w:color w:val="auto"/>
          <w:sz w:val="24"/>
          <w:highlight w:val="none"/>
        </w:rPr>
        <w:t>十、其他重要事项的情况说明</w:t>
      </w:r>
      <w:r>
        <w:rPr>
          <w:rFonts w:ascii="Times New Roman" w:hAnsi="Times New Roman" w:eastAsia="宋体" w:cs="Times New Roman"/>
          <w:b/>
          <w:kern w:val="2"/>
          <w:sz w:val="24"/>
          <w:szCs w:val="24"/>
          <w:lang w:val="en-US" w:eastAsia="zh-CN" w:bidi="ar-SA"/>
        </w:rPr>
        <w:t>…………………………</w:t>
      </w:r>
      <w:r>
        <w:rPr>
          <w:rFonts w:hint="eastAsia" w:ascii="Times New Roman" w:hAnsi="Times New Roman" w:eastAsia="宋体" w:cs="Times New Roman"/>
          <w:b/>
          <w:kern w:val="2"/>
          <w:sz w:val="24"/>
          <w:szCs w:val="24"/>
          <w:lang w:val="en-US" w:eastAsia="zh-CN" w:bidi="ar-SA"/>
        </w:rPr>
        <w:t>..</w:t>
      </w:r>
      <w:r>
        <w:rPr>
          <w:rFonts w:ascii="Times New Roman" w:hAnsi="Times New Roman" w:eastAsia="宋体" w:cs="Times New Roman"/>
          <w:b/>
          <w:kern w:val="2"/>
          <w:sz w:val="24"/>
          <w:szCs w:val="24"/>
          <w:lang w:val="en-US" w:eastAsia="zh-CN" w:bidi="ar-SA"/>
        </w:rPr>
        <w:t>…………………</w:t>
      </w:r>
      <w:r>
        <w:rPr>
          <w:rFonts w:hint="eastAsia" w:cs="Times New Roman"/>
          <w:b/>
          <w:kern w:val="2"/>
          <w:sz w:val="24"/>
          <w:szCs w:val="24"/>
          <w:lang w:val="en-US" w:eastAsia="zh-CN" w:bidi="ar-SA"/>
        </w:rPr>
        <w:t>.</w:t>
      </w:r>
      <w:r>
        <w:rPr>
          <w:rFonts w:ascii="Times New Roman" w:hAnsi="Times New Roman" w:eastAsia="宋体" w:cs="Times New Roman"/>
          <w:b/>
          <w:kern w:val="2"/>
          <w:sz w:val="24"/>
          <w:szCs w:val="24"/>
          <w:lang w:val="en-US" w:eastAsia="zh-CN" w:bidi="ar-SA"/>
        </w:rPr>
        <w:t>…</w:t>
      </w:r>
      <w:r>
        <w:rPr>
          <w:rFonts w:hint="eastAsia" w:ascii="Times New Roman" w:hAnsi="Times New Roman" w:eastAsia="宋体" w:cs="Times New Roman"/>
          <w:b/>
          <w:kern w:val="2"/>
          <w:sz w:val="24"/>
          <w:szCs w:val="24"/>
          <w:lang w:val="en-US" w:eastAsia="zh-CN" w:bidi="ar-SA"/>
        </w:rPr>
        <w:t>1</w:t>
      </w:r>
      <w:r>
        <w:rPr>
          <w:rFonts w:hint="eastAsia" w:cs="Times New Roman"/>
          <w:b/>
          <w:kern w:val="2"/>
          <w:sz w:val="24"/>
          <w:szCs w:val="24"/>
          <w:lang w:val="en-US" w:eastAsia="zh-CN" w:bidi="ar-SA"/>
        </w:rPr>
        <w:t>5</w:t>
      </w:r>
    </w:p>
    <w:p>
      <w:pPr>
        <w:pStyle w:val="13"/>
        <w:adjustRightInd w:val="0"/>
        <w:snapToGrid w:val="0"/>
        <w:spacing w:before="0" w:line="440" w:lineRule="exact"/>
        <w:jc w:val="left"/>
        <w:rPr>
          <w:rFonts w:hint="default" w:cstheme="minorBidi"/>
          <w:color w:val="auto"/>
          <w:sz w:val="24"/>
          <w:szCs w:val="24"/>
          <w:highlight w:val="none"/>
          <w:lang w:val="en-US"/>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ascii="Times New Roman" w:hAnsi="Times New Roman" w:eastAsia="宋体" w:cs="Times New Roman"/>
          <w:b/>
          <w:kern w:val="2"/>
          <w:sz w:val="24"/>
          <w:szCs w:val="24"/>
          <w:lang w:val="en-US" w:eastAsia="zh-CN" w:bidi="ar-SA"/>
        </w:rPr>
        <w:t>………………………………………………………………</w:t>
      </w:r>
      <w:r>
        <w:rPr>
          <w:rFonts w:hint="eastAsia" w:ascii="Times New Roman" w:hAnsi="Times New Roman" w:eastAsia="宋体" w:cs="Times New Roman"/>
          <w:b/>
          <w:kern w:val="2"/>
          <w:sz w:val="24"/>
          <w:szCs w:val="24"/>
          <w:lang w:val="en-US" w:eastAsia="zh-CN" w:bidi="ar-SA"/>
        </w:rPr>
        <w:t>....17</w:t>
      </w:r>
    </w:p>
    <w:p>
      <w:pPr>
        <w:pStyle w:val="13"/>
        <w:adjustRightInd w:val="0"/>
        <w:snapToGrid w:val="0"/>
        <w:spacing w:before="0" w:line="440" w:lineRule="exact"/>
        <w:jc w:val="left"/>
        <w:rPr>
          <w:rFonts w:hint="default" w:cstheme="minorBidi"/>
          <w:color w:val="auto"/>
          <w:sz w:val="24"/>
          <w:szCs w:val="24"/>
          <w:highlight w:val="none"/>
          <w:lang w:val="en-US"/>
        </w:rPr>
      </w:pPr>
      <w:r>
        <w:rPr>
          <w:rFonts w:hint="eastAsia"/>
          <w:color w:val="auto"/>
          <w:sz w:val="24"/>
          <w:highlight w:val="none"/>
        </w:rPr>
        <w:t>第</w:t>
      </w:r>
      <w:r>
        <w:rPr>
          <w:rFonts w:hint="eastAsia"/>
          <w:color w:val="auto"/>
          <w:sz w:val="24"/>
          <w:highlight w:val="none"/>
          <w:lang w:val="en-US" w:eastAsia="zh-CN"/>
        </w:rPr>
        <w:t>四</w:t>
      </w:r>
      <w:r>
        <w:rPr>
          <w:rFonts w:hint="eastAsia"/>
          <w:color w:val="auto"/>
          <w:sz w:val="24"/>
          <w:highlight w:val="none"/>
        </w:rPr>
        <w:t>部分</w:t>
      </w:r>
      <w:r>
        <w:rPr>
          <w:color w:val="auto"/>
          <w:sz w:val="24"/>
          <w:highlight w:val="none"/>
        </w:rPr>
        <w:t xml:space="preserve"> </w:t>
      </w:r>
      <w:r>
        <w:rPr>
          <w:rFonts w:hint="eastAsia"/>
          <w:color w:val="auto"/>
          <w:sz w:val="24"/>
          <w:highlight w:val="none"/>
        </w:rPr>
        <w:t>附表</w:t>
      </w:r>
      <w:r>
        <w:rPr>
          <w:rFonts w:ascii="Times New Roman" w:hAnsi="Times New Roman" w:eastAsia="宋体" w:cs="Times New Roman"/>
          <w:b/>
          <w:kern w:val="2"/>
          <w:sz w:val="24"/>
          <w:szCs w:val="24"/>
          <w:lang w:val="en-US" w:eastAsia="zh-CN" w:bidi="ar-SA"/>
        </w:rPr>
        <w:t>………………………</w:t>
      </w:r>
      <w:r>
        <w:rPr>
          <w:rFonts w:hint="eastAsia" w:ascii="Times New Roman" w:hAnsi="Times New Roman" w:eastAsia="宋体" w:cs="Times New Roman"/>
          <w:b/>
          <w:kern w:val="2"/>
          <w:sz w:val="24"/>
          <w:szCs w:val="24"/>
          <w:lang w:val="en-US" w:eastAsia="zh-CN" w:bidi="ar-SA"/>
        </w:rPr>
        <w:t>.</w:t>
      </w:r>
      <w:r>
        <w:rPr>
          <w:rFonts w:ascii="Times New Roman" w:hAnsi="Times New Roman" w:eastAsia="宋体" w:cs="Times New Roman"/>
          <w:b/>
          <w:kern w:val="2"/>
          <w:sz w:val="24"/>
          <w:szCs w:val="24"/>
          <w:lang w:val="en-US" w:eastAsia="zh-CN" w:bidi="ar-SA"/>
        </w:rPr>
        <w:t>……………………………………………</w:t>
      </w:r>
      <w:r>
        <w:rPr>
          <w:rFonts w:hint="eastAsia" w:ascii="Times New Roman" w:hAnsi="Times New Roman" w:eastAsia="宋体" w:cs="Times New Roman"/>
          <w:b/>
          <w:kern w:val="2"/>
          <w:sz w:val="24"/>
          <w:szCs w:val="24"/>
          <w:lang w:val="en-US" w:eastAsia="zh-CN" w:bidi="ar-SA"/>
        </w:rPr>
        <w:t>...20</w:t>
      </w:r>
    </w:p>
    <w:p>
      <w:pPr>
        <w:pStyle w:val="14"/>
        <w:adjustRightInd w:val="0"/>
        <w:snapToGrid w:val="0"/>
        <w:spacing w:line="440" w:lineRule="exact"/>
        <w:jc w:val="left"/>
        <w:rPr>
          <w:rFonts w:hint="eastAsia"/>
          <w:color w:val="auto"/>
          <w:sz w:val="24"/>
          <w:highlight w:val="none"/>
        </w:rPr>
      </w:pPr>
      <w:r>
        <w:rPr>
          <w:rFonts w:hint="eastAsia"/>
          <w:color w:val="auto"/>
          <w:sz w:val="24"/>
          <w:highlight w:val="none"/>
        </w:rPr>
        <w:t>一、收入支出决算总表</w:t>
      </w:r>
    </w:p>
    <w:p>
      <w:pPr>
        <w:pStyle w:val="14"/>
        <w:adjustRightInd w:val="0"/>
        <w:snapToGrid w:val="0"/>
        <w:spacing w:line="440" w:lineRule="exact"/>
        <w:jc w:val="left"/>
        <w:rPr>
          <w:rFonts w:hint="eastAsia"/>
          <w:color w:val="auto"/>
          <w:sz w:val="24"/>
          <w:highlight w:val="none"/>
        </w:rPr>
      </w:pPr>
      <w:r>
        <w:rPr>
          <w:rFonts w:hint="eastAsia"/>
          <w:color w:val="auto"/>
          <w:sz w:val="24"/>
          <w:highlight w:val="none"/>
        </w:rPr>
        <w:t>二、收入决算表</w:t>
      </w:r>
    </w:p>
    <w:p>
      <w:pPr>
        <w:pStyle w:val="14"/>
        <w:adjustRightInd w:val="0"/>
        <w:snapToGrid w:val="0"/>
        <w:spacing w:line="440" w:lineRule="exact"/>
        <w:jc w:val="left"/>
        <w:rPr>
          <w:rFonts w:hint="eastAsia"/>
          <w:color w:val="auto"/>
          <w:sz w:val="24"/>
          <w:highlight w:val="none"/>
        </w:rPr>
      </w:pPr>
      <w:r>
        <w:rPr>
          <w:rFonts w:hint="eastAsia"/>
          <w:color w:val="auto"/>
          <w:sz w:val="24"/>
          <w:highlight w:val="none"/>
        </w:rPr>
        <w:t>三、支出决算表</w:t>
      </w:r>
    </w:p>
    <w:p>
      <w:pPr>
        <w:pStyle w:val="14"/>
        <w:adjustRightInd w:val="0"/>
        <w:snapToGrid w:val="0"/>
        <w:spacing w:line="440" w:lineRule="exact"/>
        <w:jc w:val="left"/>
        <w:rPr>
          <w:rFonts w:hint="eastAsia"/>
          <w:color w:val="auto"/>
          <w:sz w:val="24"/>
          <w:highlight w:val="none"/>
        </w:rPr>
      </w:pPr>
      <w:r>
        <w:rPr>
          <w:rFonts w:hint="eastAsia"/>
          <w:color w:val="auto"/>
          <w:sz w:val="24"/>
          <w:highlight w:val="none"/>
        </w:rPr>
        <w:t>四、财政拨款收入支出决算总表</w:t>
      </w:r>
    </w:p>
    <w:p>
      <w:pPr>
        <w:pStyle w:val="14"/>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p>
    <w:p>
      <w:pPr>
        <w:pStyle w:val="14"/>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p>
    <w:p>
      <w:pPr>
        <w:pStyle w:val="14"/>
        <w:adjustRightInd w:val="0"/>
        <w:snapToGrid w:val="0"/>
        <w:spacing w:line="440" w:lineRule="exact"/>
        <w:jc w:val="left"/>
        <w:rPr>
          <w:rFonts w:hint="eastAsia"/>
          <w:color w:val="auto"/>
          <w:sz w:val="24"/>
          <w:highlight w:val="none"/>
        </w:rPr>
      </w:pPr>
      <w:r>
        <w:rPr>
          <w:rFonts w:hint="eastAsia"/>
          <w:color w:val="auto"/>
          <w:sz w:val="24"/>
          <w:highlight w:val="none"/>
        </w:rPr>
        <w:t>七、一般公共预算财政拨款支出决算明细表</w:t>
      </w:r>
    </w:p>
    <w:p>
      <w:pPr>
        <w:pStyle w:val="14"/>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八、一般公共预算财政拨款基本支出决算表</w:t>
      </w:r>
    </w:p>
    <w:p>
      <w:pPr>
        <w:pStyle w:val="14"/>
        <w:adjustRightInd w:val="0"/>
        <w:snapToGrid w:val="0"/>
        <w:spacing w:line="440" w:lineRule="exact"/>
        <w:jc w:val="left"/>
        <w:rPr>
          <w:rFonts w:hint="eastAsia"/>
          <w:color w:val="auto"/>
          <w:sz w:val="24"/>
          <w:highlight w:val="none"/>
        </w:rPr>
      </w:pPr>
      <w:r>
        <w:rPr>
          <w:rFonts w:hint="eastAsia"/>
          <w:color w:val="auto"/>
          <w:sz w:val="24"/>
          <w:highlight w:val="none"/>
        </w:rPr>
        <w:t>九、一般公共预算财政拨款项目支出决算表</w:t>
      </w:r>
    </w:p>
    <w:p>
      <w:pPr>
        <w:pStyle w:val="14"/>
        <w:adjustRightInd w:val="0"/>
        <w:snapToGrid w:val="0"/>
        <w:spacing w:line="440" w:lineRule="exact"/>
        <w:jc w:val="left"/>
        <w:rPr>
          <w:rFonts w:hint="eastAsia"/>
          <w:color w:val="auto"/>
          <w:sz w:val="24"/>
          <w:highlight w:val="none"/>
        </w:rPr>
      </w:pPr>
      <w:r>
        <w:rPr>
          <w:rFonts w:hint="eastAsia"/>
          <w:color w:val="auto"/>
          <w:sz w:val="24"/>
          <w:highlight w:val="none"/>
        </w:rPr>
        <w:t>十、一般公共预算财政拨款“三公”经费支出决算表</w:t>
      </w:r>
    </w:p>
    <w:p>
      <w:pPr>
        <w:pStyle w:val="14"/>
        <w:adjustRightInd w:val="0"/>
        <w:snapToGrid w:val="0"/>
        <w:spacing w:line="440" w:lineRule="exact"/>
        <w:jc w:val="left"/>
        <w:rPr>
          <w:rFonts w:hint="eastAsia"/>
          <w:color w:val="auto"/>
          <w:sz w:val="24"/>
          <w:highlight w:val="none"/>
        </w:rPr>
      </w:pPr>
      <w:r>
        <w:rPr>
          <w:rFonts w:hint="eastAsia"/>
          <w:color w:val="auto"/>
          <w:sz w:val="24"/>
          <w:highlight w:val="none"/>
        </w:rPr>
        <w:t>十一、政府性基金预算财政拨款收入支出决算表</w:t>
      </w:r>
    </w:p>
    <w:p>
      <w:pPr>
        <w:pStyle w:val="14"/>
        <w:adjustRightInd w:val="0"/>
        <w:snapToGrid w:val="0"/>
        <w:spacing w:line="440" w:lineRule="exact"/>
        <w:jc w:val="left"/>
        <w:rPr>
          <w:rFonts w:hint="eastAsia"/>
          <w:color w:val="auto"/>
          <w:sz w:val="24"/>
          <w:highlight w:val="none"/>
        </w:rPr>
      </w:pPr>
      <w:r>
        <w:rPr>
          <w:rFonts w:hint="eastAsia"/>
          <w:color w:val="auto"/>
          <w:sz w:val="24"/>
          <w:highlight w:val="none"/>
        </w:rPr>
        <w:t>十二、政府性基金预算财政拨款“三公”经费支出决算表</w:t>
      </w:r>
    </w:p>
    <w:p>
      <w:pPr>
        <w:pStyle w:val="14"/>
        <w:adjustRightInd w:val="0"/>
        <w:snapToGrid w:val="0"/>
        <w:spacing w:line="440" w:lineRule="exact"/>
        <w:jc w:val="left"/>
        <w:rPr>
          <w:rFonts w:hint="eastAsia"/>
          <w:color w:val="auto"/>
          <w:sz w:val="24"/>
          <w:highlight w:val="none"/>
        </w:rPr>
      </w:pPr>
      <w:r>
        <w:rPr>
          <w:rFonts w:hint="eastAsia"/>
          <w:color w:val="auto"/>
          <w:sz w:val="24"/>
          <w:highlight w:val="none"/>
        </w:rPr>
        <w:t>十三、国有资本经营预算</w:t>
      </w:r>
      <w:r>
        <w:rPr>
          <w:rFonts w:hint="eastAsia"/>
          <w:color w:val="auto"/>
          <w:sz w:val="24"/>
          <w:highlight w:val="none"/>
          <w:lang w:eastAsia="zh-CN"/>
        </w:rPr>
        <w:t>财政拨款收入</w:t>
      </w:r>
      <w:r>
        <w:rPr>
          <w:rFonts w:hint="eastAsia"/>
          <w:color w:val="auto"/>
          <w:sz w:val="24"/>
          <w:highlight w:val="none"/>
        </w:rPr>
        <w:t>支出决算表</w:t>
      </w:r>
    </w:p>
    <w:p>
      <w:pPr>
        <w:pStyle w:val="14"/>
        <w:adjustRightInd w:val="0"/>
        <w:snapToGrid w:val="0"/>
        <w:spacing w:line="440" w:lineRule="exact"/>
        <w:jc w:val="left"/>
        <w:rPr>
          <w:rFonts w:hint="default"/>
          <w:color w:val="auto"/>
          <w:sz w:val="24"/>
          <w:highlight w:val="none"/>
          <w:lang w:val="en-US" w:eastAsia="zh-CN"/>
        </w:rPr>
      </w:pPr>
      <w:r>
        <w:rPr>
          <w:rFonts w:hint="eastAsia"/>
          <w:color w:val="auto"/>
          <w:sz w:val="24"/>
          <w:highlight w:val="none"/>
          <w:lang w:val="en-US" w:eastAsia="zh-CN"/>
        </w:rPr>
        <w:t>十四、国有资本经营预算财政拨款支出决算表</w:t>
      </w:r>
    </w:p>
    <w:p>
      <w:pPr>
        <w:widowControl/>
        <w:spacing w:line="440" w:lineRule="exact"/>
        <w:jc w:val="left"/>
        <w:rPr>
          <w:rFonts w:ascii="仿宋" w:hAnsi="仿宋" w:eastAsia="仿宋"/>
          <w:bCs/>
          <w:color w:val="auto"/>
          <w:kern w:val="44"/>
          <w:sz w:val="24"/>
          <w:highlight w:val="none"/>
        </w:rPr>
      </w:pPr>
      <w:bookmarkStart w:id="12" w:name="_Toc15377196"/>
      <w:bookmarkStart w:id="13" w:name="_Toc15396599"/>
      <w:r>
        <w:rPr>
          <w:rFonts w:ascii="仿宋" w:hAnsi="仿宋" w:eastAsia="仿宋"/>
          <w:b/>
          <w:color w:val="auto"/>
          <w:sz w:val="24"/>
          <w:highlight w:val="none"/>
        </w:rPr>
        <w:br w:type="page"/>
      </w:r>
    </w:p>
    <w:p>
      <w:pPr>
        <w:pStyle w:val="3"/>
        <w:jc w:val="center"/>
        <w:rPr>
          <w:rStyle w:val="29"/>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9"/>
          <w:rFonts w:hint="eastAsia" w:ascii="黑体" w:hAnsi="黑体" w:eastAsia="黑体"/>
          <w:b w:val="0"/>
          <w:bCs w:val="0"/>
          <w:color w:val="auto"/>
          <w:highlight w:val="none"/>
        </w:rPr>
        <w:t>概况</w:t>
      </w:r>
      <w:bookmarkEnd w:id="12"/>
      <w:bookmarkEnd w:id="13"/>
    </w:p>
    <w:p>
      <w:pPr>
        <w:widowControl/>
        <w:jc w:val="left"/>
        <w:rPr>
          <w:rFonts w:ascii="黑体" w:eastAsia="黑体"/>
          <w:color w:val="auto"/>
          <w:sz w:val="32"/>
          <w:szCs w:val="32"/>
          <w:highlight w:val="none"/>
        </w:rPr>
      </w:pPr>
    </w:p>
    <w:p>
      <w:pPr>
        <w:pStyle w:val="4"/>
        <w:numPr>
          <w:ilvl w:val="0"/>
          <w:numId w:val="0"/>
        </w:numPr>
        <w:ind w:firstLine="640" w:firstLineChars="200"/>
        <w:rPr>
          <w:rStyle w:val="30"/>
          <w:rFonts w:hint="eastAsia" w:ascii="黑体" w:hAnsi="黑体" w:eastAsia="黑体"/>
          <w:b w:val="0"/>
          <w:bCs w:val="0"/>
          <w:color w:val="auto"/>
          <w:highlight w:val="none"/>
          <w:lang w:eastAsia="zh-CN"/>
        </w:rPr>
      </w:pPr>
      <w:bookmarkStart w:id="14" w:name="_Toc15377197"/>
      <w:bookmarkStart w:id="15" w:name="_Toc15396600"/>
      <w:r>
        <w:rPr>
          <w:rStyle w:val="30"/>
          <w:rFonts w:hint="eastAsia" w:ascii="黑体" w:hAnsi="黑体" w:eastAsia="黑体"/>
          <w:b w:val="0"/>
          <w:bCs w:val="0"/>
          <w:color w:val="auto"/>
          <w:highlight w:val="none"/>
          <w:lang w:val="en-US" w:eastAsia="zh-CN"/>
        </w:rPr>
        <w:t xml:space="preserve"> 一、</w:t>
      </w:r>
      <w:r>
        <w:rPr>
          <w:rStyle w:val="30"/>
          <w:rFonts w:hint="eastAsia" w:ascii="黑体" w:hAnsi="黑体" w:eastAsia="黑体"/>
          <w:b w:val="0"/>
          <w:bCs w:val="0"/>
          <w:color w:val="auto"/>
          <w:highlight w:val="none"/>
        </w:rPr>
        <w:t>职能</w:t>
      </w:r>
      <w:r>
        <w:rPr>
          <w:rStyle w:val="30"/>
          <w:rFonts w:hint="eastAsia" w:ascii="黑体" w:hAnsi="黑体" w:eastAsia="黑体"/>
          <w:b w:val="0"/>
          <w:bCs w:val="0"/>
          <w:color w:val="auto"/>
          <w:highlight w:val="none"/>
          <w:lang w:eastAsia="zh-CN"/>
        </w:rPr>
        <w:t>简介</w:t>
      </w:r>
    </w:p>
    <w:p>
      <w:pPr>
        <w:spacing w:line="600" w:lineRule="exact"/>
        <w:ind w:firstLine="640" w:firstLineChars="200"/>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rPr>
        <w:t>四川省地质矿产勘查开发局二零七地质队是四川省地质矿产勘查开发局下属二级预算事业单位，其主要职责:</w:t>
      </w:r>
    </w:p>
    <w:p>
      <w:pPr>
        <w:spacing w:line="600" w:lineRule="exact"/>
        <w:ind w:firstLine="640" w:firstLineChars="200"/>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rPr>
        <w:t xml:space="preserve"> 1</w:t>
      </w:r>
      <w:r>
        <w:rPr>
          <w:rFonts w:hint="eastAsia" w:ascii="仿宋" w:hAnsi="仿宋" w:eastAsia="仿宋" w:cs="仿宋"/>
          <w:color w:val="000000"/>
          <w:sz w:val="32"/>
          <w:szCs w:val="32"/>
          <w:highlight w:val="none"/>
          <w:lang w:val="en-US" w:eastAsia="zh-CN"/>
        </w:rPr>
        <w:t>.</w:t>
      </w:r>
      <w:r>
        <w:rPr>
          <w:rFonts w:hint="eastAsia" w:ascii="仿宋" w:hAnsi="仿宋" w:eastAsia="仿宋" w:cs="仿宋"/>
          <w:color w:val="000000"/>
          <w:sz w:val="32"/>
          <w:szCs w:val="32"/>
          <w:highlight w:val="none"/>
        </w:rPr>
        <w:t>为国家建设提供地矿勘探服务。</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color w:val="000000"/>
          <w:sz w:val="32"/>
          <w:szCs w:val="32"/>
          <w:highlight w:val="none"/>
        </w:rPr>
        <w:t xml:space="preserve"> 2</w:t>
      </w:r>
      <w:r>
        <w:rPr>
          <w:rFonts w:hint="eastAsia" w:ascii="仿宋" w:hAnsi="仿宋" w:eastAsia="仿宋" w:cs="仿宋"/>
          <w:color w:val="000000"/>
          <w:sz w:val="32"/>
          <w:szCs w:val="32"/>
          <w:highlight w:val="none"/>
          <w:lang w:val="en-US" w:eastAsia="zh-CN"/>
        </w:rPr>
        <w:t>.</w:t>
      </w:r>
      <w:r>
        <w:rPr>
          <w:rFonts w:hint="eastAsia" w:ascii="仿宋" w:hAnsi="仿宋" w:eastAsia="仿宋" w:cs="仿宋"/>
          <w:color w:val="000000"/>
          <w:sz w:val="32"/>
          <w:szCs w:val="32"/>
          <w:highlight w:val="none"/>
        </w:rPr>
        <w:t>承担地质及水文矿产、工程、环境地质、地球物理、地球化学地质的勘查、勘探、地质测绘、钻井、坑隧道、</w:t>
      </w:r>
      <w:r>
        <w:rPr>
          <w:rFonts w:hint="eastAsia" w:ascii="仿宋" w:hAnsi="仿宋" w:eastAsia="仿宋" w:cs="仿宋"/>
          <w:color w:val="000000"/>
          <w:sz w:val="32"/>
          <w:szCs w:val="32"/>
          <w:highlight w:val="none"/>
          <w:lang w:val="en-US" w:eastAsia="zh-CN"/>
        </w:rPr>
        <w:t>桩</w:t>
      </w:r>
      <w:r>
        <w:rPr>
          <w:rFonts w:hint="eastAsia" w:ascii="仿宋" w:hAnsi="仿宋" w:eastAsia="仿宋" w:cs="仿宋"/>
          <w:color w:val="000000"/>
          <w:sz w:val="32"/>
          <w:szCs w:val="32"/>
          <w:highlight w:val="none"/>
        </w:rPr>
        <w:t>基工程施工、矿石、水质的化验分析、鉴定、测试。</w:t>
      </w:r>
    </w:p>
    <w:p>
      <w:pPr>
        <w:numPr>
          <w:ilvl w:val="0"/>
          <w:numId w:val="0"/>
        </w:numPr>
        <w:rPr>
          <w:rFonts w:hint="eastAsia"/>
        </w:rPr>
      </w:pPr>
    </w:p>
    <w:p>
      <w:pPr>
        <w:pStyle w:val="4"/>
        <w:numPr>
          <w:ilvl w:val="0"/>
          <w:numId w:val="0"/>
        </w:numPr>
        <w:ind w:firstLine="640" w:firstLineChars="200"/>
        <w:rPr>
          <w:rFonts w:hint="eastAsia" w:ascii="黑体" w:hAnsi="黑体" w:eastAsia="黑体"/>
          <w:b w:val="0"/>
          <w:color w:val="auto"/>
          <w:highlight w:val="none"/>
        </w:rPr>
      </w:pPr>
      <w:r>
        <w:rPr>
          <w:rFonts w:hint="eastAsia" w:ascii="黑体" w:hAnsi="黑体" w:eastAsia="黑体"/>
          <w:b w:val="0"/>
          <w:color w:val="auto"/>
          <w:highlight w:val="none"/>
          <w:lang w:val="en-US" w:eastAsia="zh-CN"/>
        </w:rPr>
        <w:t>二、2021年重点</w:t>
      </w:r>
      <w:r>
        <w:rPr>
          <w:rFonts w:hint="eastAsia" w:ascii="黑体" w:hAnsi="黑体" w:eastAsia="黑体"/>
          <w:b w:val="0"/>
          <w:color w:val="auto"/>
          <w:highlight w:val="none"/>
        </w:rPr>
        <w:t>工作</w:t>
      </w:r>
      <w:bookmarkEnd w:id="14"/>
      <w:bookmarkEnd w:id="15"/>
      <w:r>
        <w:rPr>
          <w:rFonts w:hint="eastAsia" w:ascii="黑体" w:hAnsi="黑体" w:eastAsia="黑体"/>
          <w:b w:val="0"/>
          <w:color w:val="auto"/>
          <w:highlight w:val="none"/>
          <w:lang w:eastAsia="zh-CN"/>
        </w:rPr>
        <w:t>完成情况</w:t>
      </w:r>
    </w:p>
    <w:p>
      <w:pPr>
        <w:spacing w:line="600" w:lineRule="exact"/>
        <w:ind w:firstLine="640" w:firstLineChars="200"/>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（一）应收账款回收率明显提高。</w:t>
      </w:r>
    </w:p>
    <w:p>
      <w:pPr>
        <w:spacing w:line="600" w:lineRule="exact"/>
        <w:ind w:firstLine="640" w:firstLineChars="200"/>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rPr>
        <w:t>应收账款回收率当年期为87.44%，同比增长5.33%</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往年期为53.13%，同比增长</w:t>
      </w:r>
      <w:r>
        <w:rPr>
          <w:rFonts w:hint="eastAsia" w:ascii="仿宋" w:hAnsi="仿宋" w:eastAsia="仿宋" w:cs="仿宋"/>
          <w:color w:val="000000"/>
          <w:sz w:val="32"/>
          <w:szCs w:val="32"/>
          <w:highlight w:val="none"/>
          <w:lang w:val="en-US" w:eastAsia="zh-CN"/>
        </w:rPr>
        <w:t>19.99%</w:t>
      </w:r>
      <w:r>
        <w:rPr>
          <w:rFonts w:hint="eastAsia" w:ascii="仿宋" w:hAnsi="仿宋" w:eastAsia="仿宋" w:cs="仿宋"/>
          <w:color w:val="000000"/>
          <w:sz w:val="32"/>
          <w:szCs w:val="32"/>
          <w:highlight w:val="none"/>
        </w:rPr>
        <w:t>。</w:t>
      </w:r>
    </w:p>
    <w:p>
      <w:pPr>
        <w:numPr>
          <w:ilvl w:val="0"/>
          <w:numId w:val="1"/>
        </w:numPr>
        <w:spacing w:line="600" w:lineRule="exact"/>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聚焦重大战略部署，</w:t>
      </w:r>
      <w:r>
        <w:rPr>
          <w:rFonts w:hint="eastAsia" w:ascii="仿宋" w:hAnsi="仿宋" w:eastAsia="仿宋" w:cs="仿宋"/>
          <w:color w:val="000000"/>
          <w:sz w:val="32"/>
          <w:szCs w:val="32"/>
          <w:highlight w:val="none"/>
          <w:lang w:val="en-US" w:eastAsia="zh-CN"/>
        </w:rPr>
        <w:t>着力服务经济社会建设，工作亮点精彩纷呈</w:t>
      </w:r>
      <w:r>
        <w:rPr>
          <w:rFonts w:hint="eastAsia" w:ascii="仿宋" w:hAnsi="仿宋" w:eastAsia="仿宋" w:cs="仿宋"/>
          <w:color w:val="000000"/>
          <w:sz w:val="32"/>
          <w:szCs w:val="32"/>
          <w:highlight w:val="none"/>
        </w:rPr>
        <w:t>。</w:t>
      </w:r>
    </w:p>
    <w:p>
      <w:pPr>
        <w:keepNext w:val="0"/>
        <w:keepLines w:val="0"/>
        <w:pageBreakBefore w:val="0"/>
        <w:widowControl/>
        <w:kinsoku/>
        <w:wordWrap/>
        <w:overflowPunct/>
        <w:topLinePunct w:val="0"/>
        <w:autoSpaceDE/>
        <w:autoSpaceDN/>
        <w:bidi w:val="0"/>
        <w:adjustRightInd/>
        <w:spacing w:line="520" w:lineRule="exact"/>
        <w:ind w:firstLine="420" w:firstLineChars="200"/>
        <w:textAlignment w:val="auto"/>
        <w:rPr>
          <w:rFonts w:hint="eastAsia" w:ascii="仿宋" w:hAnsi="仿宋" w:eastAsia="仿宋" w:cs="仿宋"/>
          <w:color w:val="000000"/>
          <w:sz w:val="32"/>
          <w:szCs w:val="32"/>
          <w:highlight w:val="none"/>
          <w:lang w:val="en-US" w:eastAsia="zh-CN"/>
        </w:rPr>
      </w:pPr>
      <w:r>
        <w:rPr>
          <w:rFonts w:hint="eastAsia"/>
          <w:lang w:val="en-US" w:eastAsia="zh-CN"/>
        </w:rPr>
        <w:t xml:space="preserve">   </w:t>
      </w:r>
      <w:r>
        <w:rPr>
          <w:rFonts w:hint="eastAsia" w:ascii="仿宋" w:hAnsi="仿宋" w:eastAsia="仿宋" w:cs="仿宋"/>
          <w:color w:val="000000"/>
          <w:sz w:val="32"/>
          <w:szCs w:val="32"/>
          <w:highlight w:val="none"/>
          <w:lang w:val="en-US" w:eastAsia="zh-CN"/>
        </w:rPr>
        <w:t>服务</w:t>
      </w:r>
      <w:r>
        <w:rPr>
          <w:rFonts w:hint="eastAsia" w:ascii="仿宋" w:hAnsi="仿宋" w:eastAsia="仿宋" w:cs="仿宋"/>
          <w:color w:val="000000"/>
          <w:sz w:val="32"/>
          <w:szCs w:val="32"/>
          <w:highlight w:val="none"/>
        </w:rPr>
        <w:t>成渝地区双城经济圈建设</w:t>
      </w:r>
      <w:r>
        <w:rPr>
          <w:rFonts w:hint="eastAsia" w:ascii="仿宋" w:hAnsi="仿宋" w:eastAsia="仿宋" w:cs="仿宋"/>
          <w:color w:val="000000"/>
          <w:sz w:val="32"/>
          <w:szCs w:val="32"/>
          <w:highlight w:val="none"/>
          <w:lang w:val="en-US" w:eastAsia="zh-CN"/>
        </w:rPr>
        <w:t>成效初显</w:t>
      </w:r>
      <w:r>
        <w:rPr>
          <w:rFonts w:hint="eastAsia" w:ascii="仿宋" w:hAnsi="仿宋" w:eastAsia="仿宋" w:cs="仿宋"/>
          <w:color w:val="000000"/>
          <w:sz w:val="32"/>
          <w:szCs w:val="32"/>
          <w:highlight w:val="none"/>
        </w:rPr>
        <w:t>。把握机遇，</w:t>
      </w:r>
      <w:r>
        <w:rPr>
          <w:rFonts w:hint="eastAsia" w:ascii="仿宋" w:hAnsi="仿宋" w:eastAsia="仿宋" w:cs="仿宋"/>
          <w:color w:val="000000"/>
          <w:sz w:val="32"/>
          <w:szCs w:val="32"/>
          <w:highlight w:val="none"/>
          <w:lang w:val="en-US" w:eastAsia="zh-CN"/>
        </w:rPr>
        <w:t>找准着力点，</w:t>
      </w:r>
      <w:r>
        <w:rPr>
          <w:rFonts w:hint="eastAsia" w:ascii="仿宋" w:hAnsi="仿宋" w:eastAsia="仿宋" w:cs="仿宋"/>
          <w:color w:val="000000"/>
          <w:sz w:val="32"/>
          <w:szCs w:val="32"/>
          <w:highlight w:val="none"/>
        </w:rPr>
        <w:t>成功中标乐山机场民用航站区勘察</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设计</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造价一体化项目</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lang w:val="en-US" w:eastAsia="zh-CN"/>
        </w:rPr>
        <w:t>承担了成都空港五路南延线工程项目等。</w:t>
      </w:r>
      <w:r>
        <w:rPr>
          <w:rFonts w:hint="eastAsia" w:ascii="仿宋" w:hAnsi="仿宋" w:eastAsia="仿宋" w:cs="仿宋"/>
          <w:color w:val="000000"/>
          <w:sz w:val="32"/>
          <w:szCs w:val="32"/>
          <w:highlight w:val="none"/>
        </w:rPr>
        <w:t>深入研究“一干多支、五区协同”战略部署，实施了沿江线、久马路等高速公路的地质服务工作，</w:t>
      </w:r>
      <w:r>
        <w:rPr>
          <w:rFonts w:hint="eastAsia" w:ascii="仿宋" w:hAnsi="仿宋" w:eastAsia="仿宋" w:cs="仿宋"/>
          <w:color w:val="000000"/>
          <w:sz w:val="32"/>
          <w:szCs w:val="32"/>
          <w:highlight w:val="none"/>
          <w:lang w:val="en-US" w:eastAsia="zh-CN"/>
        </w:rPr>
        <w:t>跻身城际间高速公路互联互通、区域性综合交通枢纽建设领域。</w:t>
      </w:r>
    </w:p>
    <w:p>
      <w:pPr>
        <w:pStyle w:val="15"/>
        <w:keepNext w:val="0"/>
        <w:keepLines w:val="0"/>
        <w:pageBreakBefore w:val="0"/>
        <w:kinsoku/>
        <w:wordWrap/>
        <w:overflowPunct/>
        <w:topLinePunct w:val="0"/>
        <w:autoSpaceDE/>
        <w:autoSpaceDN/>
        <w:bidi w:val="0"/>
        <w:adjustRightInd/>
        <w:spacing w:before="0" w:beforeAutospacing="0" w:after="0" w:afterAutospacing="0" w:line="520" w:lineRule="exact"/>
        <w:ind w:firstLine="640" w:firstLineChars="200"/>
        <w:jc w:val="both"/>
        <w:textAlignment w:val="auto"/>
        <w:rPr>
          <w:rFonts w:hint="default"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大力实施“地质+自然资源”、“地质+生态环境”、“地质+应急保障”、“地质+农业农村”战略，成功中标2021年度省政府性投资项目—马边县黄家坪磷矿普查，承担了雷波县牛牛寨北磷矿东矿段补充勘查等；实施了中国电建成勘院2021～2023年度新能源勘探施工项目；大力探索绿色矿山建设，承担了扎囊县阿扎乡章达村孤西鸟采石场矿山修复项目和金口河区老汞山磷矿绿色矿山建设咨询项目等；助力乐山市地灾防治应急能力提升，进一步为地方政府专业规划提供技术支撑等。</w:t>
      </w:r>
    </w:p>
    <w:p>
      <w:pPr>
        <w:pStyle w:val="15"/>
        <w:keepNext w:val="0"/>
        <w:keepLines w:val="0"/>
        <w:pageBreakBefore w:val="0"/>
        <w:kinsoku/>
        <w:wordWrap/>
        <w:overflowPunct/>
        <w:topLinePunct w:val="0"/>
        <w:autoSpaceDE/>
        <w:autoSpaceDN/>
        <w:bidi w:val="0"/>
        <w:adjustRightInd/>
        <w:spacing w:before="0" w:beforeAutospacing="0" w:after="0" w:afterAutospacing="0" w:line="520" w:lineRule="exact"/>
        <w:ind w:firstLine="640" w:firstLineChars="200"/>
        <w:jc w:val="both"/>
        <w:textAlignment w:val="auto"/>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全面建设区域市场。不断做实嘉源蓉创地质科技有限公司，实施了西藏专群结合监测预警等一批有影响力的项目；不断做优已有的拉萨、昌都、攀枝花市场。完成了西藏自治区20处地质灾害隐患点普适性监测仪器的安装工作等，市场潜力得到进一步挖掘。同时，积极开拓日喀则、林芝和巴中市场，落实一大批高质量订单，平台建设稳步推进。</w:t>
      </w:r>
    </w:p>
    <w:p>
      <w:pPr>
        <w:pStyle w:val="16"/>
        <w:keepNext w:val="0"/>
        <w:keepLines w:val="0"/>
        <w:pageBreakBefore w:val="0"/>
        <w:kinsoku/>
        <w:wordWrap/>
        <w:overflowPunct/>
        <w:topLinePunct w:val="0"/>
        <w:autoSpaceDE/>
        <w:autoSpaceDN/>
        <w:bidi w:val="0"/>
        <w:adjustRightInd/>
        <w:spacing w:line="520" w:lineRule="exact"/>
        <w:textAlignment w:val="auto"/>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（三）聚焦核心优势，着力挖潜力、强动力，发展活力进一步释放。</w:t>
      </w:r>
    </w:p>
    <w:p>
      <w:pPr>
        <w:pStyle w:val="16"/>
        <w:keepNext w:val="0"/>
        <w:keepLines w:val="0"/>
        <w:pageBreakBefore w:val="0"/>
        <w:kinsoku/>
        <w:wordWrap/>
        <w:overflowPunct/>
        <w:topLinePunct w:val="0"/>
        <w:autoSpaceDE/>
        <w:autoSpaceDN/>
        <w:bidi w:val="0"/>
        <w:adjustRightInd/>
        <w:spacing w:line="520" w:lineRule="exact"/>
        <w:ind w:firstLine="640"/>
        <w:textAlignment w:val="auto"/>
        <w:rPr>
          <w:rFonts w:hint="default"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项目经营能力不断提升。以供给侧结构性改革为主线，积极调整产业结构，精准客户定位，精准需求分析，坚持以质量获取信任，杜绝一切资源浪费和无效管理。优化“队统筹谋划搭平台、实体（企业）跟进抓项目、部门配合强服务”的有效经营体系。创新经营理念，统筹做好“总部管控+区域拓展”的经营发展模式。重点培养和启用懂经营善管理懂规矩的复合型人才，以项目为载体，以岗位为平台，递点子、铺路子、压担子，切实提高经营水平。地质科技创新工作深入推进。科技创新制度进一步完善，制定了《科技地矿建设实施方案》《科技创新项目管理细则》《科技创新专项资金管理办法》等，为科技创新提供制度保障。对内对外合作开放进一步深化。先后与17家科研院所和企事业单位构建了战略合作关系，拓展了地质服务的广度和深度。资质建设持续加强。重视资质建设中长期发展规划，新办6个施工资质，完成了地灾防治4个甲级资质的延续注册等工作。</w:t>
      </w:r>
    </w:p>
    <w:p>
      <w:pPr>
        <w:pStyle w:val="16"/>
        <w:keepNext w:val="0"/>
        <w:keepLines w:val="0"/>
        <w:pageBreakBefore w:val="0"/>
        <w:kinsoku/>
        <w:wordWrap/>
        <w:overflowPunct/>
        <w:topLinePunct w:val="0"/>
        <w:autoSpaceDE/>
        <w:autoSpaceDN/>
        <w:bidi w:val="0"/>
        <w:adjustRightInd/>
        <w:spacing w:line="520" w:lineRule="exact"/>
        <w:ind w:firstLine="640"/>
        <w:textAlignment w:val="auto"/>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（四）聚焦重点环节，着力优机制、防风险，基础管理工作进一步强化。</w:t>
      </w:r>
    </w:p>
    <w:p>
      <w:pPr>
        <w:pStyle w:val="16"/>
        <w:keepNext w:val="0"/>
        <w:keepLines w:val="0"/>
        <w:pageBreakBefore w:val="0"/>
        <w:kinsoku/>
        <w:wordWrap/>
        <w:overflowPunct/>
        <w:topLinePunct w:val="0"/>
        <w:autoSpaceDE/>
        <w:autoSpaceDN/>
        <w:bidi w:val="0"/>
        <w:adjustRightInd/>
        <w:spacing w:line="520" w:lineRule="exact"/>
        <w:ind w:firstLine="640"/>
        <w:textAlignment w:val="auto"/>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持续加强制度建设，制定或修订完善内控制度40余项，同时加强制度执行和宣讲力度，严格执行财经管理制度，财务风险防控力度进一步加强；持续加强安全生产工作，加强安全监管队伍建设，补充安全监管力量。持续加大安全培训力度；持续加强治安综治维稳工作；认真落实治安综治维稳责任制，与各责任单位签订了目标管理责任书。强化消防安全管理，深入扎实开展消防安全大检查和火灾防控各项工作；持续抓好常态化疫情防控，严格落实“外防输入、内防反弹”总体要求，持续做好了办公、生活区域环境卫生和消毒灭菌、疫苗接种统计上报等工作，把疫情防控贯穿到干部职工生活工作的全过程、各环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楷体简体" w:hAnsi="方正楷体简体" w:eastAsia="方正楷体简体" w:cs="方正楷体简体"/>
          <w:kern w:val="2"/>
          <w:sz w:val="32"/>
          <w:szCs w:val="32"/>
          <w:lang w:val="en-US" w:eastAsia="zh-CN" w:bidi="ar-SA"/>
        </w:rPr>
      </w:pPr>
      <w:r>
        <w:rPr>
          <w:rFonts w:hint="eastAsia" w:ascii="仿宋" w:hAnsi="仿宋" w:eastAsia="仿宋" w:cs="仿宋"/>
          <w:color w:val="000000"/>
          <w:kern w:val="2"/>
          <w:sz w:val="32"/>
          <w:szCs w:val="32"/>
          <w:highlight w:val="none"/>
          <w:lang w:val="en-US" w:eastAsia="zh-CN" w:bidi="ar-SA"/>
        </w:rPr>
        <w:t>（五）聚焦巡察整改，不断把全面从严治党引向深入，党史学习教育进一步走深走实。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0"/>
          <w:sz w:val="32"/>
          <w:szCs w:val="32"/>
          <w:shd w:val="clear" w:color="auto" w:fill="FFFFFF"/>
        </w:rPr>
      </w:pPr>
      <w:r>
        <w:rPr>
          <w:rFonts w:hint="eastAsia" w:ascii="仿宋" w:hAnsi="仿宋" w:eastAsia="仿宋" w:cs="仿宋"/>
          <w:sz w:val="32"/>
          <w:szCs w:val="32"/>
        </w:rPr>
        <w:t>认真开展庆祝中国共产党成立100周年系列活动，深入推进党史学习教育。</w:t>
      </w:r>
      <w:r>
        <w:rPr>
          <w:rFonts w:hint="eastAsia" w:ascii="仿宋_GB2312" w:eastAsia="仿宋_GB2312"/>
          <w:bCs/>
          <w:sz w:val="32"/>
          <w:szCs w:val="32"/>
          <w:lang w:val="en-US" w:eastAsia="zh-CN"/>
        </w:rPr>
        <w:t>通过</w:t>
      </w:r>
      <w:r>
        <w:rPr>
          <w:rFonts w:hint="eastAsia" w:ascii="仿宋" w:hAnsi="仿宋" w:eastAsia="仿宋" w:cs="仿宋"/>
          <w:kern w:val="0"/>
          <w:sz w:val="32"/>
          <w:szCs w:val="32"/>
          <w:shd w:val="clear" w:color="auto" w:fill="FFFFFF"/>
        </w:rPr>
        <w:t>开展文艺汇报演出、主题演讲比赛、党史知识竞赛、观看主题电影</w:t>
      </w:r>
      <w:r>
        <w:rPr>
          <w:rFonts w:hint="eastAsia" w:ascii="仿宋" w:hAnsi="仿宋" w:eastAsia="仿宋" w:cs="仿宋"/>
          <w:kern w:val="0"/>
          <w:sz w:val="32"/>
          <w:szCs w:val="32"/>
          <w:shd w:val="clear" w:color="auto" w:fill="FFFFFF"/>
          <w:lang w:eastAsia="zh-CN"/>
        </w:rPr>
        <w:t>、</w:t>
      </w:r>
      <w:r>
        <w:rPr>
          <w:rFonts w:hint="eastAsia" w:ascii="仿宋" w:hAnsi="仿宋" w:eastAsia="仿宋" w:cs="仿宋"/>
          <w:kern w:val="0"/>
          <w:sz w:val="32"/>
          <w:szCs w:val="32"/>
          <w:shd w:val="clear" w:color="auto" w:fill="FFFFFF"/>
        </w:rPr>
        <w:t>“永远跟党走”群众性主题宣传教育</w:t>
      </w:r>
      <w:r>
        <w:rPr>
          <w:rFonts w:hint="eastAsia" w:ascii="仿宋" w:hAnsi="仿宋" w:eastAsia="仿宋" w:cs="仿宋"/>
          <w:kern w:val="0"/>
          <w:sz w:val="32"/>
          <w:szCs w:val="32"/>
          <w:shd w:val="clear" w:color="auto" w:fill="FFFFFF"/>
          <w:lang w:val="en-US" w:eastAsia="zh-CN"/>
        </w:rPr>
        <w:t>等</w:t>
      </w:r>
      <w:r>
        <w:rPr>
          <w:rFonts w:hint="eastAsia" w:ascii="仿宋" w:hAnsi="仿宋" w:eastAsia="仿宋" w:cs="仿宋"/>
          <w:kern w:val="0"/>
          <w:sz w:val="32"/>
          <w:szCs w:val="32"/>
          <w:shd w:val="clear" w:color="auto" w:fill="FFFFFF"/>
        </w:rPr>
        <w:t>活动</w:t>
      </w:r>
      <w:r>
        <w:rPr>
          <w:rFonts w:hint="eastAsia" w:ascii="仿宋" w:hAnsi="仿宋" w:eastAsia="仿宋" w:cs="仿宋"/>
          <w:kern w:val="0"/>
          <w:sz w:val="32"/>
          <w:szCs w:val="32"/>
          <w:shd w:val="clear" w:color="auto" w:fill="FFFFFF"/>
          <w:lang w:val="en-US" w:eastAsia="zh-CN"/>
        </w:rPr>
        <w:t>，热烈庆祝</w:t>
      </w:r>
      <w:r>
        <w:rPr>
          <w:rFonts w:hint="eastAsia" w:ascii="仿宋" w:hAnsi="仿宋" w:eastAsia="仿宋" w:cs="仿宋"/>
          <w:sz w:val="32"/>
          <w:szCs w:val="32"/>
        </w:rPr>
        <w:t>中国共产党</w:t>
      </w:r>
      <w:r>
        <w:rPr>
          <w:rFonts w:hint="eastAsia" w:ascii="仿宋" w:hAnsi="仿宋" w:eastAsia="仿宋" w:cs="仿宋"/>
          <w:kern w:val="0"/>
          <w:sz w:val="32"/>
          <w:szCs w:val="32"/>
          <w:shd w:val="clear" w:color="auto" w:fill="FFFFFF"/>
          <w:lang w:val="en-US" w:eastAsia="zh-CN"/>
        </w:rPr>
        <w:t>建党100周年</w:t>
      </w:r>
      <w:r>
        <w:rPr>
          <w:rFonts w:hint="eastAsia" w:ascii="仿宋" w:hAnsi="仿宋" w:eastAsia="仿宋" w:cs="仿宋"/>
          <w:kern w:val="0"/>
          <w:sz w:val="32"/>
          <w:szCs w:val="32"/>
          <w:shd w:val="clear" w:color="auto" w:fill="FFFFFF"/>
        </w:rPr>
        <w:t>。围绕《论中国共产党历史》等学习材料，结合“学习强国”等新媒体平台，运用好省内外红色教育资源，邀请专家讲课，</w:t>
      </w:r>
      <w:r>
        <w:rPr>
          <w:rFonts w:hint="eastAsia" w:ascii="仿宋" w:hAnsi="仿宋" w:eastAsia="仿宋" w:cs="仿宋"/>
          <w:kern w:val="0"/>
          <w:sz w:val="32"/>
          <w:szCs w:val="32"/>
          <w:shd w:val="clear" w:color="auto" w:fill="FFFFFF"/>
          <w:lang w:eastAsia="zh-CN"/>
        </w:rPr>
        <w:t>通过</w:t>
      </w:r>
      <w:r>
        <w:rPr>
          <w:rFonts w:hint="eastAsia" w:ascii="仿宋" w:hAnsi="仿宋" w:eastAsia="仿宋" w:cs="仿宋"/>
          <w:kern w:val="0"/>
          <w:sz w:val="32"/>
          <w:szCs w:val="32"/>
          <w:shd w:val="clear" w:color="auto" w:fill="FFFFFF"/>
        </w:rPr>
        <w:t>党委理论学习中心组引领、青年理论学习小组跟进、各党支部集中学习以及党员干部自学等方式，扎实开展党史学习教育。</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以巡察整改为契机，推动全面从严治党向纵深发展 。高度重视局党委对我队党委开展的“政治体检”，针对巡察反馈的九个方面26个突出问题，认真完成整改。配合核查组对有关问题线索开展核查工作，确保“事事有着落、件件有回音”。坚持依法治队，以规治队，着眼于制度管人管事管权，确保巡察成果经得起实践检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lang w:val="en-US" w:eastAsia="zh-CN"/>
        </w:rPr>
      </w:pPr>
      <w:r>
        <w:rPr>
          <w:rFonts w:hint="eastAsia" w:ascii="仿宋" w:hAnsi="仿宋" w:eastAsia="仿宋" w:cs="仿宋"/>
          <w:sz w:val="32"/>
          <w:szCs w:val="32"/>
          <w:lang w:val="en-US" w:eastAsia="zh-CN"/>
        </w:rPr>
        <w:t>强化党建引领，深化基层党组织的组织力。继续深化党内关怀，加大对各党支部党建工作的指导、检查和考核，推动党建工作与中心任务深度融合。落实“两个责任”，深化党风廉政建设。重视廉政警示教育宣传，加强典型案例通报、法纪知识学习和廉政宣讲，运用《忏悔实录》读本和警示教育片《黑白人生》开展警示教育。加强正向引导，大力推进地勘文化建设。</w:t>
      </w:r>
    </w:p>
    <w:p>
      <w:pPr>
        <w:pStyle w:val="2"/>
        <w:ind w:firstLine="643" w:firstLineChars="200"/>
        <w:rPr>
          <w:rStyle w:val="30"/>
          <w:rFonts w:hint="eastAsia" w:ascii="黑体" w:hAnsi="黑体" w:eastAsia="黑体" w:cs="黑体"/>
          <w:bCs w:val="0"/>
          <w:color w:val="auto"/>
          <w:lang w:val="en-US" w:eastAsia="zh-CN" w:bidi="ar-SA"/>
        </w:rPr>
      </w:pPr>
    </w:p>
    <w:p>
      <w:pPr>
        <w:pStyle w:val="2"/>
        <w:ind w:firstLine="643" w:firstLineChars="200"/>
        <w:rPr>
          <w:rStyle w:val="30"/>
          <w:rFonts w:hint="eastAsia" w:ascii="黑体" w:hAnsi="黑体" w:eastAsia="黑体" w:cs="黑体"/>
          <w:bCs w:val="0"/>
          <w:color w:val="auto"/>
          <w:lang w:val="en-US" w:eastAsia="zh-CN" w:bidi="ar-SA"/>
        </w:rPr>
      </w:pPr>
      <w:r>
        <w:rPr>
          <w:rStyle w:val="30"/>
          <w:rFonts w:hint="eastAsia" w:ascii="黑体" w:hAnsi="黑体" w:eastAsia="黑体" w:cs="黑体"/>
          <w:bCs w:val="0"/>
          <w:color w:val="auto"/>
          <w:lang w:val="en-US" w:eastAsia="zh-CN" w:bidi="ar-SA"/>
        </w:rPr>
        <w:t>三、机构设置情况</w:t>
      </w:r>
    </w:p>
    <w:p>
      <w:pPr>
        <w:pStyle w:val="2"/>
        <w:ind w:firstLine="640" w:firstLineChars="200"/>
        <w:rPr>
          <w:rFonts w:hint="eastAsia" w:ascii="仿宋" w:hAnsi="仿宋" w:eastAsia="仿宋" w:cs="仿宋"/>
          <w:b w:val="0"/>
          <w:bCs w:val="0"/>
          <w:color w:val="000000"/>
          <w:kern w:val="2"/>
          <w:sz w:val="32"/>
          <w:szCs w:val="32"/>
          <w:highlight w:val="none"/>
          <w:lang w:val="en-US" w:eastAsia="zh-CN" w:bidi="ar-SA"/>
        </w:rPr>
      </w:pPr>
      <w:r>
        <w:rPr>
          <w:rFonts w:hint="eastAsia" w:ascii="仿宋" w:hAnsi="仿宋" w:eastAsia="仿宋" w:cs="仿宋"/>
          <w:b w:val="0"/>
          <w:bCs w:val="0"/>
          <w:color w:val="000000"/>
          <w:kern w:val="2"/>
          <w:sz w:val="32"/>
          <w:szCs w:val="32"/>
          <w:highlight w:val="none"/>
          <w:lang w:val="en-US" w:eastAsia="zh-CN" w:bidi="ar-SA"/>
        </w:rPr>
        <w:t>二零七地质队管理科室有13个，分别为：队行政办公室、经济管理部、资产财务部、审计工作部、党群工作部、团委、纪检监察部、安全工作部、劳动人事部、离退休工作部、档案室、物业管理中心、工会办公室。</w:t>
      </w:r>
    </w:p>
    <w:p>
      <w:pPr>
        <w:pStyle w:val="3"/>
        <w:ind w:right="440"/>
        <w:jc w:val="center"/>
        <w:rPr>
          <w:rStyle w:val="29"/>
          <w:rFonts w:ascii="黑体" w:hAnsi="黑体" w:eastAsia="黑体"/>
          <w:b w:val="0"/>
          <w:bCs/>
          <w:color w:val="auto"/>
          <w:highlight w:val="none"/>
        </w:rPr>
      </w:pPr>
      <w:bookmarkStart w:id="16" w:name="_Toc15396602"/>
      <w:bookmarkStart w:id="17"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2021年度</w:t>
      </w:r>
      <w:r>
        <w:rPr>
          <w:rStyle w:val="29"/>
          <w:rFonts w:hint="eastAsia" w:ascii="黑体" w:hAnsi="黑体" w:eastAsia="黑体"/>
          <w:b w:val="0"/>
          <w:bCs/>
          <w:color w:val="auto"/>
          <w:highlight w:val="none"/>
          <w:lang w:eastAsia="zh-CN"/>
        </w:rPr>
        <w:t>单位</w:t>
      </w:r>
      <w:r>
        <w:rPr>
          <w:rStyle w:val="29"/>
          <w:rFonts w:hint="eastAsia" w:ascii="黑体" w:hAnsi="黑体" w:eastAsia="黑体"/>
          <w:b w:val="0"/>
          <w:bCs/>
          <w:color w:val="auto"/>
          <w:highlight w:val="none"/>
        </w:rPr>
        <w:t>决算情况说明</w:t>
      </w:r>
      <w:bookmarkEnd w:id="16"/>
      <w:bookmarkEnd w:id="17"/>
    </w:p>
    <w:p>
      <w:pPr>
        <w:rPr>
          <w:color w:val="auto"/>
          <w:highlight w:val="none"/>
        </w:rPr>
      </w:pPr>
    </w:p>
    <w:p>
      <w:pPr>
        <w:pStyle w:val="28"/>
        <w:numPr>
          <w:ilvl w:val="0"/>
          <w:numId w:val="2"/>
        </w:numPr>
        <w:spacing w:line="600" w:lineRule="exact"/>
        <w:ind w:firstLineChars="0"/>
        <w:outlineLvl w:val="1"/>
        <w:rPr>
          <w:rStyle w:val="30"/>
          <w:rFonts w:ascii="黑体" w:hAnsi="黑体" w:eastAsia="黑体"/>
          <w:b w:val="0"/>
          <w:color w:val="auto"/>
          <w:highlight w:val="none"/>
        </w:rPr>
      </w:pPr>
      <w:bookmarkStart w:id="18" w:name="_Toc15377205"/>
      <w:bookmarkStart w:id="19" w:name="_Toc15396603"/>
      <w:r>
        <w:rPr>
          <w:rFonts w:hint="eastAsia" w:ascii="黑体" w:hAnsi="黑体" w:eastAsia="黑体"/>
          <w:color w:val="auto"/>
          <w:sz w:val="32"/>
          <w:szCs w:val="32"/>
          <w:highlight w:val="none"/>
        </w:rPr>
        <w:t>收</w:t>
      </w:r>
      <w:r>
        <w:rPr>
          <w:rStyle w:val="30"/>
          <w:rFonts w:hint="eastAsia" w:ascii="黑体" w:hAnsi="黑体" w:eastAsia="黑体"/>
          <w:b w:val="0"/>
          <w:color w:val="auto"/>
          <w:highlight w:val="none"/>
        </w:rPr>
        <w:t>入支出决算总体情况说明</w:t>
      </w:r>
      <w:bookmarkEnd w:id="18"/>
      <w:bookmarkEnd w:id="19"/>
    </w:p>
    <w:p>
      <w:pPr>
        <w:spacing w:line="600" w:lineRule="exact"/>
        <w:ind w:firstLine="640" w:firstLineChars="200"/>
        <w:rPr>
          <w:rFonts w:hint="eastAsia" w:ascii="仿宋" w:hAnsi="仿宋" w:eastAsia="仿宋" w:cs="仿宋"/>
          <w:color w:val="000000"/>
          <w:sz w:val="32"/>
          <w:szCs w:val="32"/>
          <w:highlight w:val="none"/>
          <w:lang w:val="en-US"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7,182.58</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年相比，收、支总计各增加</w:t>
      </w:r>
      <w:r>
        <w:rPr>
          <w:rFonts w:hint="eastAsia" w:ascii="仿宋" w:hAnsi="仿宋" w:eastAsia="仿宋"/>
          <w:color w:val="auto"/>
          <w:sz w:val="32"/>
          <w:szCs w:val="32"/>
          <w:highlight w:val="none"/>
          <w:lang w:val="en-US" w:eastAsia="zh-CN"/>
        </w:rPr>
        <w:t>584.18</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8.85</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s="仿宋"/>
          <w:color w:val="000000"/>
          <w:sz w:val="32"/>
          <w:szCs w:val="32"/>
          <w:highlight w:val="none"/>
          <w:lang w:val="en-US" w:eastAsia="zh-CN"/>
        </w:rPr>
        <w:t>增加了退休中人一次性生活补助。</w:t>
      </w:r>
    </w:p>
    <w:p>
      <w:pPr>
        <w:pStyle w:val="7"/>
        <w:rPr>
          <w:rFonts w:ascii="仿宋" w:hAnsi="仿宋" w:eastAsia="仿宋"/>
          <w:color w:val="auto"/>
          <w:sz w:val="32"/>
          <w:szCs w:val="32"/>
          <w:highlight w:val="none"/>
        </w:rPr>
      </w:pPr>
      <w:r>
        <w:rPr>
          <w:rFonts w:hint="eastAsia" w:ascii="仿宋" w:hAnsi="仿宋" w:eastAsia="仿宋" w:cs="仿宋"/>
          <w:color w:val="000000"/>
          <w:sz w:val="32"/>
          <w:szCs w:val="32"/>
          <w:highlight w:val="none"/>
          <w:lang w:val="en-US" w:eastAsia="zh-CN"/>
        </w:rPr>
        <w:drawing>
          <wp:inline distT="0" distB="0" distL="114300" distR="114300">
            <wp:extent cx="5175250" cy="3866515"/>
            <wp:effectExtent l="4445" t="4445" r="20955" b="15240"/>
            <wp:docPr id="12" name="图表 12" descr="7b0a202020202263686172745265734964223a2022343632353833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960" w:firstLineChars="300"/>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spacing w:line="600" w:lineRule="exact"/>
        <w:ind w:firstLine="640" w:firstLineChars="200"/>
        <w:jc w:val="left"/>
        <w:rPr>
          <w:rFonts w:ascii="仿宋_GB2312" w:eastAsia="仿宋_GB2312"/>
          <w:color w:val="auto"/>
          <w:sz w:val="32"/>
          <w:szCs w:val="32"/>
          <w:highlight w:val="none"/>
        </w:rPr>
      </w:pPr>
    </w:p>
    <w:p>
      <w:pPr>
        <w:pStyle w:val="28"/>
        <w:numPr>
          <w:ilvl w:val="0"/>
          <w:numId w:val="2"/>
        </w:numPr>
        <w:spacing w:line="600" w:lineRule="exact"/>
        <w:ind w:firstLineChars="0"/>
        <w:outlineLvl w:val="1"/>
        <w:rPr>
          <w:rStyle w:val="30"/>
          <w:rFonts w:ascii="黑体" w:hAnsi="黑体" w:eastAsia="黑体"/>
          <w:b w:val="0"/>
          <w:color w:val="auto"/>
          <w:highlight w:val="none"/>
        </w:rPr>
      </w:pPr>
      <w:bookmarkStart w:id="20" w:name="_Toc15377206"/>
      <w:bookmarkStart w:id="21" w:name="_Toc15396604"/>
      <w:r>
        <w:rPr>
          <w:rFonts w:hint="eastAsia" w:ascii="黑体" w:hAnsi="黑体" w:eastAsia="黑体"/>
          <w:color w:val="auto"/>
          <w:sz w:val="32"/>
          <w:szCs w:val="32"/>
          <w:highlight w:val="none"/>
        </w:rPr>
        <w:t>收</w:t>
      </w:r>
      <w:r>
        <w:rPr>
          <w:rStyle w:val="30"/>
          <w:rFonts w:hint="eastAsia" w:ascii="黑体" w:hAnsi="黑体" w:eastAsia="黑体"/>
          <w:b w:val="0"/>
          <w:color w:val="auto"/>
          <w:highlight w:val="none"/>
        </w:rPr>
        <w:t>入决算情况说明</w:t>
      </w:r>
      <w:bookmarkEnd w:id="20"/>
      <w:bookmarkEnd w:id="21"/>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7,182.58</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4,756.78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66.23</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w:t>
      </w:r>
      <w:r>
        <w:rPr>
          <w:rFonts w:hint="eastAsia" w:ascii="仿宋" w:hAnsi="仿宋" w:eastAsia="仿宋"/>
          <w:color w:val="auto"/>
          <w:sz w:val="32"/>
          <w:szCs w:val="32"/>
          <w:highlight w:val="none"/>
          <w:lang w:val="en-US" w:eastAsia="zh-CN"/>
        </w:rPr>
        <w:t>2,425.15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33.76</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0.65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3" w:firstLineChars="200"/>
        <w:outlineLvl w:val="1"/>
        <w:rPr>
          <w:rFonts w:ascii="仿宋" w:hAnsi="仿宋" w:eastAsia="仿宋"/>
          <w:b/>
          <w:color w:val="auto"/>
          <w:sz w:val="32"/>
          <w:szCs w:val="32"/>
          <w:highlight w:val="none"/>
        </w:rPr>
      </w:pPr>
    </w:p>
    <w:p>
      <w:pPr>
        <w:spacing w:line="600" w:lineRule="exact"/>
        <w:ind w:firstLine="640" w:firstLineChars="200"/>
        <w:outlineLvl w:val="1"/>
        <w:rPr>
          <w:rFonts w:hint="eastAsia" w:ascii="仿宋" w:hAnsi="仿宋" w:eastAsia="仿宋"/>
          <w:color w:val="auto"/>
          <w:sz w:val="32"/>
          <w:szCs w:val="32"/>
          <w:highlight w:val="none"/>
        </w:rPr>
      </w:pPr>
      <w:r>
        <w:rPr>
          <w:rFonts w:hint="eastAsia" w:ascii="仿宋" w:hAnsi="仿宋" w:eastAsia="仿宋"/>
          <w:color w:val="auto"/>
          <w:sz w:val="32"/>
          <w:szCs w:val="32"/>
          <w:highlight w:val="none"/>
          <w:lang w:eastAsia="zh-CN"/>
        </w:rPr>
        <w:drawing>
          <wp:anchor distT="0" distB="0" distL="114300" distR="114300" simplePos="0" relativeHeight="251659264" behindDoc="1" locked="0" layoutInCell="1" allowOverlap="1">
            <wp:simplePos x="0" y="0"/>
            <wp:positionH relativeFrom="column">
              <wp:posOffset>153670</wp:posOffset>
            </wp:positionH>
            <wp:positionV relativeFrom="paragraph">
              <wp:posOffset>366395</wp:posOffset>
            </wp:positionV>
            <wp:extent cx="5403850" cy="4057015"/>
            <wp:effectExtent l="4445" t="4445" r="20955" b="53340"/>
            <wp:wrapTight wrapText="bothSides">
              <wp:wrapPolygon>
                <wp:start x="-18" y="-24"/>
                <wp:lineTo x="-18" y="21478"/>
                <wp:lineTo x="21531" y="21478"/>
                <wp:lineTo x="21531" y="-24"/>
                <wp:lineTo x="-18" y="-24"/>
              </wp:wrapPolygon>
            </wp:wrapTight>
            <wp:docPr id="2" name="图表 2" descr="7b0a202020202263686172745265734964223a20223230343731333838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1600" w:firstLineChars="500"/>
        <w:rPr>
          <w:rFonts w:ascii="仿宋" w:hAnsi="仿宋" w:eastAsia="仿宋"/>
          <w:color w:val="auto"/>
          <w:sz w:val="32"/>
          <w:szCs w:val="32"/>
          <w:highlight w:val="none"/>
        </w:rPr>
      </w:pPr>
      <w:r>
        <w:rPr>
          <w:rFonts w:hint="eastAsia" w:ascii="仿宋" w:hAnsi="仿宋" w:eastAsia="仿宋"/>
          <w:color w:val="auto"/>
          <w:sz w:val="32"/>
          <w:szCs w:val="32"/>
          <w:highlight w:val="none"/>
        </w:rPr>
        <w:t>（图2：收入决算结构图）（饼状图）</w:t>
      </w:r>
    </w:p>
    <w:p>
      <w:pPr>
        <w:spacing w:line="600" w:lineRule="exact"/>
        <w:ind w:firstLine="640" w:firstLineChars="200"/>
        <w:rPr>
          <w:rFonts w:ascii="仿宋_GB2312" w:eastAsia="仿宋_GB2312"/>
          <w:color w:val="auto"/>
          <w:sz w:val="32"/>
          <w:szCs w:val="32"/>
          <w:highlight w:val="none"/>
        </w:rPr>
      </w:pPr>
    </w:p>
    <w:p>
      <w:pPr>
        <w:pStyle w:val="28"/>
        <w:numPr>
          <w:ilvl w:val="0"/>
          <w:numId w:val="2"/>
        </w:numPr>
        <w:spacing w:line="600" w:lineRule="exact"/>
        <w:ind w:firstLineChars="0"/>
        <w:outlineLvl w:val="1"/>
        <w:rPr>
          <w:rStyle w:val="30"/>
          <w:rFonts w:ascii="黑体" w:hAnsi="黑体" w:eastAsia="黑体"/>
          <w:b w:val="0"/>
          <w:color w:val="auto"/>
          <w:highlight w:val="none"/>
        </w:rPr>
      </w:pPr>
      <w:bookmarkStart w:id="22" w:name="_Toc15377207"/>
      <w:bookmarkStart w:id="23" w:name="_Toc15396605"/>
      <w:r>
        <w:rPr>
          <w:rFonts w:hint="eastAsia" w:ascii="黑体" w:hAnsi="黑体" w:eastAsia="黑体"/>
          <w:color w:val="auto"/>
          <w:sz w:val="32"/>
          <w:szCs w:val="32"/>
          <w:highlight w:val="none"/>
        </w:rPr>
        <w:t>支</w:t>
      </w:r>
      <w:r>
        <w:rPr>
          <w:rStyle w:val="30"/>
          <w:rFonts w:hint="eastAsia" w:ascii="黑体" w:hAnsi="黑体" w:eastAsia="黑体"/>
          <w:b w:val="0"/>
          <w:color w:val="auto"/>
          <w:highlight w:val="none"/>
        </w:rPr>
        <w:t>出决算情况说明</w:t>
      </w:r>
      <w:bookmarkEnd w:id="22"/>
      <w:bookmarkEnd w:id="23"/>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7,173.17</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4,687.80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65.35</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69.00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0.96</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；经营支出</w:t>
      </w:r>
      <w:r>
        <w:rPr>
          <w:rFonts w:hint="eastAsia" w:ascii="仿宋" w:hAnsi="仿宋" w:eastAsia="仿宋"/>
          <w:color w:val="auto"/>
          <w:sz w:val="32"/>
          <w:szCs w:val="32"/>
          <w:highlight w:val="none"/>
          <w:lang w:val="en-US" w:eastAsia="zh-CN"/>
        </w:rPr>
        <w:t>2,416.37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33.69</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firstLineChars="200"/>
        <w:outlineLvl w:val="1"/>
        <w:rPr>
          <w:rFonts w:ascii="仿宋" w:hAnsi="仿宋" w:eastAsia="仿宋"/>
          <w:b/>
          <w:color w:val="0000FF"/>
          <w:sz w:val="32"/>
          <w:szCs w:val="32"/>
          <w:highlight w:val="none"/>
        </w:rPr>
      </w:pPr>
      <w:r>
        <w:rPr>
          <w:rFonts w:hint="eastAsia" w:ascii="仿宋" w:hAnsi="仿宋" w:eastAsia="仿宋"/>
          <w:color w:val="auto"/>
          <w:sz w:val="32"/>
          <w:szCs w:val="32"/>
          <w:highlight w:val="none"/>
          <w:lang w:eastAsia="zh-CN"/>
        </w:rPr>
        <w:drawing>
          <wp:anchor distT="0" distB="0" distL="114300" distR="114300" simplePos="0" relativeHeight="251660288" behindDoc="1" locked="0" layoutInCell="1" allowOverlap="1">
            <wp:simplePos x="0" y="0"/>
            <wp:positionH relativeFrom="column">
              <wp:posOffset>202565</wp:posOffset>
            </wp:positionH>
            <wp:positionV relativeFrom="paragraph">
              <wp:posOffset>-5013960</wp:posOffset>
            </wp:positionV>
            <wp:extent cx="5374005" cy="4362450"/>
            <wp:effectExtent l="4445" t="4445" r="12700" b="52705"/>
            <wp:wrapTight wrapText="bothSides">
              <wp:wrapPolygon>
                <wp:start x="-18" y="-22"/>
                <wp:lineTo x="-18" y="21767"/>
                <wp:lineTo x="21574" y="21767"/>
                <wp:lineTo x="21574" y="-22"/>
                <wp:lineTo x="-18" y="-22"/>
              </wp:wrapPolygon>
            </wp:wrapTight>
            <wp:docPr id="3" name="图表 3" descr="7b0a202020202263686172745265734964223a20223230343731333838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rPr>
          <w:rFonts w:hint="eastAsia" w:ascii="仿宋" w:hAnsi="仿宋" w:eastAsia="仿宋"/>
          <w:color w:val="auto"/>
          <w:sz w:val="32"/>
          <w:szCs w:val="32"/>
          <w:highlight w:val="none"/>
        </w:rPr>
      </w:pPr>
    </w:p>
    <w:p>
      <w:pPr>
        <w:spacing w:line="600" w:lineRule="exact"/>
        <w:ind w:firstLine="1920" w:firstLineChars="600"/>
        <w:rPr>
          <w:rFonts w:ascii="仿宋" w:hAnsi="仿宋" w:eastAsia="仿宋"/>
          <w:color w:val="auto"/>
          <w:sz w:val="32"/>
          <w:szCs w:val="32"/>
          <w:highlight w:val="none"/>
        </w:rPr>
      </w:pPr>
      <w:r>
        <w:rPr>
          <w:rFonts w:hint="eastAsia" w:ascii="仿宋" w:hAnsi="仿宋" w:eastAsia="仿宋"/>
          <w:color w:val="auto"/>
          <w:sz w:val="32"/>
          <w:szCs w:val="32"/>
          <w:highlight w:val="none"/>
        </w:rPr>
        <w:t>（图3：支出决算结构图）（饼状图）</w:t>
      </w:r>
    </w:p>
    <w:p>
      <w:pPr>
        <w:spacing w:line="600" w:lineRule="exact"/>
        <w:ind w:firstLine="640" w:firstLineChars="200"/>
        <w:rPr>
          <w:rFonts w:ascii="仿宋_GB2312" w:eastAsia="仿宋_GB2312"/>
          <w:color w:val="auto"/>
          <w:sz w:val="32"/>
          <w:szCs w:val="32"/>
          <w:highlight w:val="none"/>
        </w:rPr>
      </w:pPr>
    </w:p>
    <w:p>
      <w:pPr>
        <w:spacing w:line="600" w:lineRule="exact"/>
        <w:ind w:firstLine="640" w:firstLineChars="200"/>
        <w:outlineLvl w:val="1"/>
        <w:rPr>
          <w:rStyle w:val="30"/>
          <w:rFonts w:ascii="黑体" w:hAnsi="黑体" w:eastAsia="黑体"/>
          <w:b w:val="0"/>
          <w:color w:val="auto"/>
          <w:highlight w:val="none"/>
        </w:rPr>
      </w:pPr>
      <w:bookmarkStart w:id="24" w:name="_Toc15377208"/>
      <w:bookmarkStart w:id="25" w:name="_Toc15396606"/>
      <w:r>
        <w:rPr>
          <w:rFonts w:hint="eastAsia" w:ascii="黑体" w:hAnsi="黑体" w:eastAsia="黑体"/>
          <w:color w:val="auto"/>
          <w:sz w:val="32"/>
          <w:szCs w:val="32"/>
          <w:highlight w:val="none"/>
        </w:rPr>
        <w:t>四、财</w:t>
      </w:r>
      <w:r>
        <w:rPr>
          <w:rStyle w:val="30"/>
          <w:rFonts w:hint="eastAsia" w:ascii="黑体" w:hAnsi="黑体" w:eastAsia="黑体"/>
          <w:b w:val="0"/>
          <w:color w:val="auto"/>
          <w:highlight w:val="none"/>
        </w:rPr>
        <w:t>政拨款收入支出决算总体情况说明</w:t>
      </w:r>
      <w:bookmarkEnd w:id="24"/>
      <w:bookmarkEnd w:id="25"/>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4,756.78</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年相比，财政拨款收、支总计各增加</w:t>
      </w:r>
      <w:r>
        <w:rPr>
          <w:rFonts w:hint="eastAsia" w:ascii="仿宋" w:hAnsi="仿宋" w:eastAsia="仿宋"/>
          <w:color w:val="auto"/>
          <w:sz w:val="32"/>
          <w:szCs w:val="32"/>
          <w:highlight w:val="none"/>
          <w:lang w:val="en-US" w:eastAsia="zh-CN"/>
        </w:rPr>
        <w:t>459.55</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10.69</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s="仿宋"/>
          <w:color w:val="000000"/>
          <w:sz w:val="32"/>
          <w:szCs w:val="32"/>
          <w:highlight w:val="none"/>
          <w:lang w:val="en-US" w:eastAsia="zh-CN"/>
        </w:rPr>
        <w:t>增加了退休中人一次性生活补助。</w:t>
      </w:r>
    </w:p>
    <w:p>
      <w:pPr>
        <w:spacing w:line="600" w:lineRule="exact"/>
        <w:ind w:firstLine="640"/>
        <w:rPr>
          <w:rFonts w:ascii="仿宋" w:hAnsi="仿宋" w:eastAsia="仿宋"/>
          <w:b/>
          <w:color w:val="0000FF"/>
          <w:sz w:val="32"/>
          <w:szCs w:val="32"/>
          <w:highlight w:val="none"/>
        </w:rPr>
      </w:pPr>
    </w:p>
    <w:p>
      <w:pPr>
        <w:pStyle w:val="6"/>
        <w:rPr>
          <w:rFonts w:ascii="仿宋" w:hAnsi="仿宋" w:eastAsia="仿宋"/>
          <w:b/>
          <w:color w:val="0000FF"/>
          <w:sz w:val="32"/>
          <w:szCs w:val="32"/>
          <w:highlight w:val="none"/>
        </w:rPr>
      </w:pPr>
    </w:p>
    <w:p>
      <w:pPr>
        <w:pStyle w:val="7"/>
        <w:rPr>
          <w:rFonts w:ascii="仿宋" w:hAnsi="仿宋" w:eastAsia="仿宋"/>
          <w:b/>
          <w:color w:val="0000FF"/>
          <w:sz w:val="32"/>
          <w:szCs w:val="32"/>
          <w:highlight w:val="none"/>
        </w:rPr>
      </w:pPr>
    </w:p>
    <w:p>
      <w:pPr>
        <w:pStyle w:val="7"/>
        <w:rPr>
          <w:rFonts w:ascii="仿宋" w:hAnsi="仿宋" w:eastAsia="仿宋"/>
          <w:b/>
          <w:color w:val="0000FF"/>
          <w:sz w:val="32"/>
          <w:szCs w:val="32"/>
          <w:highlight w:val="none"/>
        </w:rPr>
      </w:pPr>
    </w:p>
    <w:p>
      <w:pPr>
        <w:pStyle w:val="7"/>
        <w:rPr>
          <w:rFonts w:ascii="仿宋" w:hAnsi="仿宋" w:eastAsia="仿宋"/>
          <w:color w:val="auto"/>
          <w:sz w:val="32"/>
          <w:szCs w:val="32"/>
          <w:highlight w:val="none"/>
        </w:rPr>
      </w:pPr>
      <w:r>
        <w:rPr>
          <w:rFonts w:hint="eastAsia" w:ascii="仿宋" w:hAnsi="仿宋" w:eastAsia="仿宋" w:cs="仿宋"/>
          <w:color w:val="000000"/>
          <w:sz w:val="32"/>
          <w:szCs w:val="32"/>
          <w:highlight w:val="none"/>
          <w:lang w:val="en-US" w:eastAsia="zh-CN"/>
        </w:rPr>
        <w:drawing>
          <wp:inline distT="0" distB="0" distL="114300" distR="114300">
            <wp:extent cx="5175250" cy="3866515"/>
            <wp:effectExtent l="4445" t="4445" r="20955" b="15240"/>
            <wp:docPr id="8" name="图表 8" descr="7b0a202020202263686172745265734964223a2022343632353833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（图4：财政拨款收、支决算总计变动情况）（柱状图）</w:t>
      </w:r>
    </w:p>
    <w:p>
      <w:pPr>
        <w:spacing w:line="600" w:lineRule="exact"/>
        <w:ind w:firstLine="640"/>
        <w:rPr>
          <w:rFonts w:ascii="仿宋" w:hAnsi="仿宋" w:eastAsia="仿宋"/>
          <w:b/>
          <w:color w:val="auto"/>
          <w:sz w:val="32"/>
          <w:szCs w:val="32"/>
          <w:highlight w:val="none"/>
        </w:rPr>
      </w:pPr>
    </w:p>
    <w:p>
      <w:pPr>
        <w:spacing w:line="600" w:lineRule="exact"/>
        <w:ind w:firstLine="640" w:firstLineChars="200"/>
        <w:outlineLvl w:val="1"/>
        <w:rPr>
          <w:rStyle w:val="30"/>
          <w:rFonts w:ascii="黑体" w:hAnsi="黑体" w:eastAsia="黑体"/>
          <w:b w:val="0"/>
          <w:color w:val="auto"/>
          <w:highlight w:val="none"/>
        </w:rPr>
      </w:pPr>
      <w:bookmarkStart w:id="26" w:name="_Toc15396607"/>
      <w:bookmarkStart w:id="27" w:name="_Toc1537720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30"/>
          <w:rFonts w:hint="eastAsia" w:ascii="黑体" w:hAnsi="黑体" w:eastAsia="黑体"/>
          <w:b w:val="0"/>
          <w:color w:val="auto"/>
          <w:highlight w:val="none"/>
        </w:rPr>
        <w:t>般公共预算财政拨款支出决算情况说明</w:t>
      </w:r>
      <w:bookmarkEnd w:id="26"/>
      <w:bookmarkEnd w:id="27"/>
    </w:p>
    <w:p>
      <w:pPr>
        <w:spacing w:line="600" w:lineRule="exact"/>
        <w:ind w:firstLine="643"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pPr>
        <w:spacing w:line="600" w:lineRule="exact"/>
        <w:ind w:firstLine="640" w:firstLineChars="200"/>
        <w:rPr>
          <w:rFonts w:hint="eastAsia" w:ascii="仿宋" w:hAnsi="仿宋" w:eastAsia="仿宋" w:cs="仿宋"/>
          <w:color w:val="000000"/>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4,756.78</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66.31</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459.55</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10.69</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s="仿宋"/>
          <w:color w:val="000000"/>
          <w:sz w:val="32"/>
          <w:szCs w:val="32"/>
          <w:highlight w:val="none"/>
          <w:lang w:val="en-US" w:eastAsia="zh-CN"/>
        </w:rPr>
        <w:t>增加了退休中人一次性生活补助。</w:t>
      </w:r>
    </w:p>
    <w:p>
      <w:pPr>
        <w:pStyle w:val="6"/>
        <w:rPr>
          <w:rFonts w:hint="eastAsia" w:ascii="仿宋" w:hAnsi="仿宋" w:eastAsia="仿宋" w:cs="仿宋"/>
          <w:color w:val="000000"/>
          <w:sz w:val="32"/>
          <w:szCs w:val="32"/>
          <w:highlight w:val="none"/>
          <w:lang w:val="en-US" w:eastAsia="zh-CN"/>
        </w:rPr>
      </w:pPr>
    </w:p>
    <w:p>
      <w:pPr>
        <w:pStyle w:val="7"/>
        <w:rPr>
          <w:rFonts w:hint="eastAsia" w:ascii="仿宋" w:hAnsi="仿宋" w:eastAsia="仿宋" w:cs="仿宋"/>
          <w:color w:val="000000"/>
          <w:sz w:val="32"/>
          <w:szCs w:val="32"/>
          <w:highlight w:val="none"/>
          <w:lang w:val="en-US" w:eastAsia="zh-CN"/>
        </w:rPr>
      </w:pPr>
    </w:p>
    <w:p>
      <w:pPr>
        <w:pStyle w:val="7"/>
        <w:rPr>
          <w:rFonts w:hint="eastAsia" w:ascii="仿宋" w:hAnsi="仿宋" w:eastAsia="仿宋" w:cs="仿宋"/>
          <w:color w:val="000000"/>
          <w:sz w:val="32"/>
          <w:szCs w:val="32"/>
          <w:highlight w:val="none"/>
          <w:lang w:val="en-US" w:eastAsia="zh-CN"/>
        </w:rPr>
      </w:pPr>
    </w:p>
    <w:p>
      <w:pPr>
        <w:pStyle w:val="7"/>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drawing>
          <wp:inline distT="0" distB="0" distL="114300" distR="114300">
            <wp:extent cx="5175250" cy="3866515"/>
            <wp:effectExtent l="4445" t="4445" r="20955" b="15240"/>
            <wp:docPr id="5" name="图表 5" descr="7b0a202020202263686172745265734964223a2022343632353833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（图5：一般公共预算财政拨款支出决算变动情况）（柱状图）</w:t>
      </w:r>
    </w:p>
    <w:p>
      <w:pPr>
        <w:spacing w:line="600" w:lineRule="exact"/>
        <w:ind w:firstLine="640" w:firstLineChars="200"/>
        <w:rPr>
          <w:rFonts w:ascii="仿宋" w:hAnsi="仿宋" w:eastAsia="仿宋"/>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bookmarkStart w:id="29" w:name="_Toc15377211"/>
      <w:r>
        <w:rPr>
          <w:rFonts w:hint="eastAsia" w:ascii="仿宋" w:hAnsi="仿宋" w:eastAsia="仿宋"/>
          <w:b/>
          <w:color w:val="auto"/>
          <w:sz w:val="32"/>
          <w:szCs w:val="32"/>
          <w:highlight w:val="none"/>
        </w:rPr>
        <w:t>（二）一般公共预算财政拨款支出决算结构情况</w:t>
      </w:r>
      <w:bookmarkEnd w:id="29"/>
    </w:p>
    <w:p>
      <w:pPr>
        <w:spacing w:line="600" w:lineRule="exact"/>
        <w:ind w:firstLine="640"/>
        <w:rPr>
          <w:rFonts w:hint="eastAsia" w:ascii="仿宋" w:hAnsi="仿宋" w:eastAsia="仿宋" w:cs="仿宋"/>
          <w:b w:val="0"/>
          <w:bCs/>
          <w:color w:val="000000" w:themeColor="text1"/>
          <w:sz w:val="32"/>
          <w:szCs w:val="32"/>
          <w14:textFill>
            <w14:solidFill>
              <w14:schemeClr w14:val="tx1"/>
            </w14:solidFill>
          </w14:textFill>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4,756.78</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社会保障和就业（类）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1,492.42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31.37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w:t>
      </w:r>
      <w:r>
        <w:rPr>
          <w:rFonts w:hint="eastAsia" w:ascii="仿宋" w:hAnsi="仿宋" w:eastAsia="仿宋"/>
          <w:b w:val="0"/>
          <w:bCs w:val="0"/>
          <w:color w:val="auto"/>
          <w:sz w:val="32"/>
          <w:szCs w:val="32"/>
          <w:highlight w:val="none"/>
        </w:rPr>
        <w:t>支出</w:t>
      </w:r>
      <w:r>
        <w:rPr>
          <w:rFonts w:hint="eastAsia" w:ascii="仿宋" w:hAnsi="仿宋" w:eastAsia="仿宋"/>
          <w:color w:val="auto"/>
          <w:sz w:val="32"/>
          <w:szCs w:val="32"/>
          <w:highlight w:val="none"/>
          <w:lang w:val="en-US" w:eastAsia="zh-CN"/>
        </w:rPr>
        <w:t>154.00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3.24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bCs w:val="0"/>
          <w:color w:val="000000" w:themeColor="text1"/>
          <w:sz w:val="32"/>
          <w:szCs w:val="32"/>
          <w14:textFill>
            <w14:solidFill>
              <w14:schemeClr w14:val="tx1"/>
            </w14:solidFill>
          </w14:textFill>
        </w:rPr>
        <w:t>资源勘探工业信息等</w:t>
      </w:r>
      <w:r>
        <w:rPr>
          <w:rFonts w:hint="eastAsia" w:ascii="仿宋" w:hAnsi="仿宋" w:eastAsia="仿宋" w:cs="仿宋"/>
          <w:b w:val="0"/>
          <w:bCs/>
          <w:color w:val="000000" w:themeColor="text1"/>
          <w:sz w:val="32"/>
          <w:szCs w:val="32"/>
          <w14:textFill>
            <w14:solidFill>
              <w14:schemeClr w14:val="tx1"/>
            </w14:solidFill>
          </w14:textFill>
        </w:rPr>
        <w:t>支出2</w:t>
      </w:r>
      <w:r>
        <w:rPr>
          <w:rFonts w:hint="eastAsia" w:ascii="仿宋" w:hAnsi="仿宋" w:eastAsia="仿宋" w:cs="仿宋"/>
          <w:b w:val="0"/>
          <w:bCs/>
          <w:color w:val="000000" w:themeColor="text1"/>
          <w:sz w:val="32"/>
          <w:szCs w:val="32"/>
          <w:lang w:val="en-US" w:eastAsia="zh-CN"/>
          <w14:textFill>
            <w14:solidFill>
              <w14:schemeClr w14:val="tx1"/>
            </w14:solidFill>
          </w14:textFill>
        </w:rPr>
        <w:t>,748.36</w:t>
      </w:r>
      <w:r>
        <w:rPr>
          <w:rFonts w:hint="eastAsia" w:ascii="仿宋" w:hAnsi="仿宋" w:eastAsia="仿宋" w:cs="仿宋"/>
          <w:b w:val="0"/>
          <w:bCs/>
          <w:color w:val="000000" w:themeColor="text1"/>
          <w:sz w:val="32"/>
          <w:szCs w:val="32"/>
          <w14:textFill>
            <w14:solidFill>
              <w14:schemeClr w14:val="tx1"/>
            </w14:solidFill>
          </w14:textFill>
        </w:rPr>
        <w:t>万元，占</w:t>
      </w:r>
      <w:r>
        <w:rPr>
          <w:rFonts w:hint="eastAsia" w:ascii="仿宋" w:hAnsi="仿宋" w:eastAsia="仿宋" w:cs="仿宋"/>
          <w:b w:val="0"/>
          <w:bCs/>
          <w:color w:val="000000" w:themeColor="text1"/>
          <w:sz w:val="32"/>
          <w:szCs w:val="32"/>
          <w:lang w:val="en-US" w:eastAsia="zh-CN"/>
          <w14:textFill>
            <w14:solidFill>
              <w14:schemeClr w14:val="tx1"/>
            </w14:solidFill>
          </w14:textFill>
        </w:rPr>
        <w:t>57.78</w:t>
      </w: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bCs w:val="0"/>
          <w:color w:val="000000" w:themeColor="text1"/>
          <w:sz w:val="32"/>
          <w:szCs w:val="32"/>
          <w14:textFill>
            <w14:solidFill>
              <w14:schemeClr w14:val="tx1"/>
            </w14:solidFill>
          </w14:textFill>
        </w:rPr>
        <w:t>住房保障</w:t>
      </w:r>
      <w:r>
        <w:rPr>
          <w:rFonts w:hint="eastAsia" w:ascii="仿宋" w:hAnsi="仿宋" w:eastAsia="仿宋" w:cs="仿宋"/>
          <w:b w:val="0"/>
          <w:bCs/>
          <w:color w:val="000000" w:themeColor="text1"/>
          <w:sz w:val="32"/>
          <w:szCs w:val="32"/>
          <w14:textFill>
            <w14:solidFill>
              <w14:schemeClr w14:val="tx1"/>
            </w14:solidFill>
          </w14:textFill>
        </w:rPr>
        <w:t>支出</w:t>
      </w:r>
      <w:r>
        <w:rPr>
          <w:rFonts w:hint="eastAsia" w:ascii="仿宋" w:hAnsi="仿宋" w:eastAsia="仿宋" w:cs="仿宋"/>
          <w:b w:val="0"/>
          <w:bCs/>
          <w:color w:val="000000" w:themeColor="text1"/>
          <w:sz w:val="32"/>
          <w:szCs w:val="32"/>
          <w:lang w:val="en-US" w:eastAsia="zh-CN"/>
          <w14:textFill>
            <w14:solidFill>
              <w14:schemeClr w14:val="tx1"/>
            </w14:solidFill>
          </w14:textFill>
        </w:rPr>
        <w:t>362.00</w:t>
      </w:r>
      <w:r>
        <w:rPr>
          <w:rFonts w:hint="eastAsia" w:ascii="仿宋" w:hAnsi="仿宋" w:eastAsia="仿宋" w:cs="仿宋"/>
          <w:b w:val="0"/>
          <w:bCs/>
          <w:color w:val="000000" w:themeColor="text1"/>
          <w:sz w:val="32"/>
          <w:szCs w:val="32"/>
          <w14:textFill>
            <w14:solidFill>
              <w14:schemeClr w14:val="tx1"/>
            </w14:solidFill>
          </w14:textFill>
        </w:rPr>
        <w:t>万元，占7.</w:t>
      </w:r>
      <w:r>
        <w:rPr>
          <w:rFonts w:hint="eastAsia" w:ascii="仿宋" w:hAnsi="仿宋" w:eastAsia="仿宋" w:cs="仿宋"/>
          <w:b w:val="0"/>
          <w:bCs/>
          <w:color w:val="000000" w:themeColor="text1"/>
          <w:sz w:val="32"/>
          <w:szCs w:val="32"/>
          <w:lang w:val="en-US" w:eastAsia="zh-CN"/>
          <w14:textFill>
            <w14:solidFill>
              <w14:schemeClr w14:val="tx1"/>
            </w14:solidFill>
          </w14:textFill>
        </w:rPr>
        <w:t>61</w:t>
      </w:r>
      <w:r>
        <w:rPr>
          <w:rFonts w:hint="eastAsia" w:ascii="仿宋" w:hAnsi="仿宋" w:eastAsia="仿宋" w:cs="仿宋"/>
          <w:b w:val="0"/>
          <w:bCs/>
          <w:color w:val="000000" w:themeColor="text1"/>
          <w:sz w:val="32"/>
          <w:szCs w:val="32"/>
          <w14:textFill>
            <w14:solidFill>
              <w14:schemeClr w14:val="tx1"/>
            </w14:solidFill>
          </w14:textFill>
        </w:rPr>
        <w:t>%。</w:t>
      </w:r>
    </w:p>
    <w:p>
      <w:pPr>
        <w:spacing w:line="600" w:lineRule="exact"/>
        <w:ind w:firstLine="640"/>
        <w:rPr>
          <w:rFonts w:hint="eastAsia" w:ascii="仿宋" w:hAnsi="仿宋" w:eastAsia="仿宋"/>
          <w:b/>
          <w:color w:val="0000FF"/>
          <w:sz w:val="32"/>
          <w:szCs w:val="32"/>
          <w:highlight w:val="none"/>
          <w:lang w:eastAsia="zh-CN"/>
        </w:rPr>
      </w:pPr>
    </w:p>
    <w:p>
      <w:pPr>
        <w:pStyle w:val="2"/>
        <w:rPr>
          <w:rFonts w:hint="eastAsia" w:ascii="仿宋" w:hAnsi="仿宋" w:eastAsia="仿宋"/>
          <w:b/>
          <w:color w:val="0000FF"/>
          <w:sz w:val="32"/>
          <w:szCs w:val="32"/>
          <w:highlight w:val="none"/>
        </w:rPr>
      </w:pPr>
    </w:p>
    <w:p>
      <w:pPr>
        <w:rPr>
          <w:rFonts w:hint="eastAsia" w:ascii="仿宋" w:hAnsi="仿宋" w:eastAsia="仿宋"/>
          <w:b/>
          <w:color w:val="0000FF"/>
          <w:sz w:val="32"/>
          <w:szCs w:val="32"/>
          <w:highlight w:val="none"/>
        </w:rPr>
      </w:pPr>
    </w:p>
    <w:p>
      <w:pPr>
        <w:pStyle w:val="2"/>
        <w:rPr>
          <w:rFonts w:hint="eastAsia" w:ascii="仿宋" w:hAnsi="仿宋" w:eastAsia="仿宋"/>
          <w:b/>
          <w:color w:val="0000FF"/>
          <w:sz w:val="32"/>
          <w:szCs w:val="32"/>
          <w:highlight w:val="none"/>
        </w:rPr>
      </w:pPr>
    </w:p>
    <w:p>
      <w:pPr>
        <w:rPr>
          <w:rFonts w:ascii="仿宋" w:hAnsi="仿宋" w:eastAsia="仿宋"/>
          <w:color w:val="auto"/>
          <w:sz w:val="32"/>
          <w:szCs w:val="32"/>
          <w:highlight w:val="none"/>
        </w:rPr>
      </w:pPr>
      <w:r>
        <w:rPr>
          <w:rFonts w:hint="eastAsia" w:eastAsia="仿宋"/>
          <w:lang w:eastAsia="zh-CN"/>
        </w:rPr>
        <w:drawing>
          <wp:inline distT="0" distB="0" distL="114935" distR="114935">
            <wp:extent cx="5527040" cy="4142740"/>
            <wp:effectExtent l="4445" t="4445" r="12065" b="5715"/>
            <wp:docPr id="6" name="图表 6" descr="7b0a202020202263686172745265734964223a20223230343731333838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pPr>
        <w:spacing w:line="600" w:lineRule="exact"/>
        <w:ind w:firstLine="640" w:firstLineChars="200"/>
        <w:rPr>
          <w:rFonts w:ascii="仿宋" w:hAnsi="仿宋" w:eastAsia="仿宋"/>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bookmarkStart w:id="30" w:name="_Toc15377212"/>
      <w:r>
        <w:rPr>
          <w:rFonts w:hint="eastAsia" w:ascii="仿宋" w:hAnsi="仿宋" w:eastAsia="仿宋"/>
          <w:b/>
          <w:color w:val="auto"/>
          <w:sz w:val="32"/>
          <w:szCs w:val="32"/>
          <w:highlight w:val="none"/>
        </w:rPr>
        <w:t>（三）一般公共预算财政拨款支出决算具体情况</w:t>
      </w:r>
      <w:bookmarkEnd w:id="30"/>
    </w:p>
    <w:p>
      <w:pPr>
        <w:spacing w:line="600" w:lineRule="exact"/>
        <w:ind w:firstLine="643" w:firstLineChars="200"/>
        <w:outlineLvl w:val="2"/>
        <w:rPr>
          <w:rFonts w:ascii="仿宋" w:hAnsi="仿宋" w:eastAsia="仿宋"/>
          <w:color w:val="auto"/>
          <w:sz w:val="32"/>
          <w:szCs w:val="32"/>
          <w:highlight w:val="none"/>
        </w:rPr>
      </w:pPr>
      <w:bookmarkStart w:id="31" w:name="_Toc15377213"/>
      <w:bookmarkStart w:id="32" w:name="_Toc15377444"/>
      <w:bookmarkStart w:id="33" w:name="_Toc15378460"/>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4,756.78万元</w:t>
      </w:r>
      <w:r>
        <w:rPr>
          <w:rFonts w:hint="eastAsia" w:ascii="仿宋" w:hAnsi="仿宋" w:eastAsia="仿宋"/>
          <w:color w:val="auto"/>
          <w:sz w:val="32"/>
          <w:szCs w:val="32"/>
          <w:highlight w:val="none"/>
        </w:rPr>
        <w:t>，</w:t>
      </w:r>
      <w:r>
        <w:rPr>
          <w:rStyle w:val="19"/>
          <w:rFonts w:hint="eastAsia" w:ascii="仿宋" w:hAnsi="仿宋" w:eastAsia="仿宋"/>
          <w:bCs/>
          <w:color w:val="auto"/>
          <w:sz w:val="32"/>
          <w:szCs w:val="32"/>
          <w:highlight w:val="none"/>
        </w:rPr>
        <w:t>完成预算</w:t>
      </w:r>
      <w:r>
        <w:rPr>
          <w:rStyle w:val="19"/>
          <w:rFonts w:hint="eastAsia" w:ascii="仿宋" w:hAnsi="仿宋" w:eastAsia="仿宋"/>
          <w:bCs/>
          <w:color w:val="auto"/>
          <w:sz w:val="32"/>
          <w:szCs w:val="32"/>
          <w:highlight w:val="none"/>
          <w:lang w:val="en-US" w:eastAsia="zh-CN"/>
        </w:rPr>
        <w:t>100.00</w:t>
      </w:r>
      <w:r>
        <w:rPr>
          <w:rStyle w:val="19"/>
          <w:rFonts w:ascii="仿宋" w:hAnsi="仿宋" w:eastAsia="仿宋"/>
          <w:bCs/>
          <w:color w:val="auto"/>
          <w:sz w:val="32"/>
          <w:szCs w:val="32"/>
          <w:highlight w:val="none"/>
        </w:rPr>
        <w:t>%</w:t>
      </w:r>
      <w:r>
        <w:rPr>
          <w:rStyle w:val="19"/>
          <w:rFonts w:hint="eastAsia" w:ascii="仿宋" w:hAnsi="仿宋" w:eastAsia="仿宋"/>
          <w:bCs/>
          <w:color w:val="auto"/>
          <w:sz w:val="32"/>
          <w:szCs w:val="32"/>
          <w:highlight w:val="none"/>
        </w:rPr>
        <w:t>。其中：</w:t>
      </w:r>
      <w:bookmarkEnd w:id="31"/>
      <w:bookmarkEnd w:id="32"/>
      <w:bookmarkEnd w:id="33"/>
    </w:p>
    <w:p>
      <w:pPr>
        <w:spacing w:line="600" w:lineRule="exact"/>
        <w:ind w:firstLine="640" w:firstLineChars="200"/>
        <w:rPr>
          <w:rStyle w:val="19"/>
          <w:rFonts w:hint="eastAsia" w:ascii="仿宋" w:hAnsi="仿宋" w:eastAsia="仿宋" w:cs="仿宋"/>
          <w:b w:val="0"/>
          <w:bCs/>
          <w:color w:val="000000"/>
          <w:sz w:val="32"/>
          <w:szCs w:val="32"/>
          <w:lang w:eastAsia="zh-CN"/>
        </w:rPr>
      </w:pPr>
      <w:r>
        <w:rPr>
          <w:rStyle w:val="19"/>
          <w:rFonts w:hint="eastAsia" w:ascii="仿宋" w:hAnsi="仿宋" w:eastAsia="仿宋" w:cs="仿宋"/>
          <w:b w:val="0"/>
          <w:bCs/>
          <w:color w:val="000000"/>
          <w:sz w:val="32"/>
          <w:szCs w:val="32"/>
        </w:rPr>
        <w:t>1.</w:t>
      </w:r>
      <w:r>
        <w:rPr>
          <w:rStyle w:val="19"/>
          <w:rFonts w:hint="eastAsia" w:ascii="仿宋" w:hAnsi="仿宋" w:eastAsia="仿宋" w:cs="仿宋"/>
          <w:b/>
          <w:bCs w:val="0"/>
          <w:color w:val="000000"/>
          <w:sz w:val="32"/>
          <w:szCs w:val="32"/>
        </w:rPr>
        <w:t>社会保障和就业</w:t>
      </w:r>
      <w:r>
        <w:rPr>
          <w:rStyle w:val="19"/>
          <w:rFonts w:hint="eastAsia" w:ascii="仿宋" w:hAnsi="仿宋" w:eastAsia="仿宋" w:cs="仿宋"/>
          <w:b/>
          <w:bCs w:val="0"/>
          <w:sz w:val="32"/>
          <w:szCs w:val="32"/>
        </w:rPr>
        <w:t>（类）</w:t>
      </w:r>
      <w:r>
        <w:rPr>
          <w:rStyle w:val="19"/>
          <w:rFonts w:hint="eastAsia" w:ascii="仿宋" w:hAnsi="仿宋" w:eastAsia="仿宋" w:cs="仿宋"/>
          <w:b/>
          <w:bCs w:val="0"/>
          <w:sz w:val="32"/>
          <w:szCs w:val="32"/>
          <w:lang w:eastAsia="zh-CN"/>
        </w:rPr>
        <w:t>行政事业单位养老</w:t>
      </w:r>
      <w:r>
        <w:rPr>
          <w:rStyle w:val="19"/>
          <w:rFonts w:hint="eastAsia" w:ascii="仿宋" w:hAnsi="仿宋" w:eastAsia="仿宋" w:cs="仿宋"/>
          <w:b/>
          <w:bCs w:val="0"/>
          <w:sz w:val="32"/>
          <w:szCs w:val="32"/>
        </w:rPr>
        <w:t>（款）</w:t>
      </w:r>
      <w:r>
        <w:rPr>
          <w:rStyle w:val="19"/>
          <w:rFonts w:hint="eastAsia" w:ascii="仿宋" w:hAnsi="仿宋" w:eastAsia="仿宋" w:cs="仿宋"/>
          <w:b/>
          <w:bCs w:val="0"/>
          <w:sz w:val="32"/>
          <w:szCs w:val="32"/>
          <w:lang w:eastAsia="zh-CN"/>
        </w:rPr>
        <w:t>事业单位离退休</w:t>
      </w:r>
      <w:r>
        <w:rPr>
          <w:rStyle w:val="19"/>
          <w:rFonts w:hint="eastAsia" w:ascii="仿宋" w:hAnsi="仿宋" w:eastAsia="仿宋" w:cs="仿宋"/>
          <w:b/>
          <w:bCs w:val="0"/>
          <w:sz w:val="32"/>
          <w:szCs w:val="32"/>
        </w:rPr>
        <w:t>（项）</w:t>
      </w:r>
      <w:r>
        <w:rPr>
          <w:rStyle w:val="19"/>
          <w:rFonts w:hint="eastAsia" w:ascii="仿宋" w:hAnsi="仿宋" w:eastAsia="仿宋" w:cs="仿宋"/>
          <w:b w:val="0"/>
          <w:bCs/>
          <w:color w:val="000000"/>
          <w:sz w:val="32"/>
          <w:szCs w:val="32"/>
        </w:rPr>
        <w:t>: 支出决算为</w:t>
      </w:r>
      <w:r>
        <w:rPr>
          <w:rStyle w:val="19"/>
          <w:rFonts w:hint="eastAsia" w:ascii="仿宋" w:hAnsi="仿宋" w:eastAsia="仿宋" w:cs="仿宋"/>
          <w:b w:val="0"/>
          <w:bCs/>
          <w:color w:val="000000"/>
          <w:sz w:val="32"/>
          <w:szCs w:val="32"/>
          <w:lang w:val="en-US" w:eastAsia="zh-CN"/>
        </w:rPr>
        <w:t>859.69</w:t>
      </w:r>
      <w:r>
        <w:rPr>
          <w:rStyle w:val="19"/>
          <w:rFonts w:hint="eastAsia" w:ascii="仿宋" w:hAnsi="仿宋" w:eastAsia="仿宋" w:cs="仿宋"/>
          <w:b w:val="0"/>
          <w:bCs/>
          <w:color w:val="000000"/>
          <w:sz w:val="32"/>
          <w:szCs w:val="32"/>
        </w:rPr>
        <w:t>万元，完成预算100.00%</w:t>
      </w:r>
      <w:r>
        <w:rPr>
          <w:rStyle w:val="19"/>
          <w:rFonts w:hint="eastAsia" w:ascii="仿宋" w:hAnsi="仿宋" w:eastAsia="仿宋" w:cs="仿宋"/>
          <w:b w:val="0"/>
          <w:bCs/>
          <w:color w:val="000000"/>
          <w:sz w:val="32"/>
          <w:szCs w:val="32"/>
          <w:lang w:eastAsia="zh-CN"/>
        </w:rPr>
        <w:t>。</w:t>
      </w:r>
    </w:p>
    <w:p>
      <w:pPr>
        <w:pStyle w:val="2"/>
        <w:rPr>
          <w:rStyle w:val="19"/>
          <w:rFonts w:hint="eastAsia" w:ascii="仿宋" w:hAnsi="仿宋" w:eastAsia="仿宋" w:cs="仿宋"/>
          <w:b w:val="0"/>
          <w:bCs/>
          <w:color w:val="000000"/>
          <w:sz w:val="32"/>
          <w:szCs w:val="32"/>
          <w:lang w:eastAsia="zh-CN"/>
        </w:rPr>
      </w:pPr>
      <w:r>
        <w:rPr>
          <w:rFonts w:hint="eastAsia" w:ascii="仿宋" w:hAnsi="仿宋" w:eastAsia="仿宋" w:cs="仿宋"/>
          <w:b w:val="0"/>
          <w:bCs/>
          <w:sz w:val="32"/>
          <w:szCs w:val="32"/>
          <w:lang w:val="en-US" w:eastAsia="zh-CN"/>
        </w:rPr>
        <w:t xml:space="preserve">    2.</w:t>
      </w:r>
      <w:r>
        <w:rPr>
          <w:rStyle w:val="19"/>
          <w:rFonts w:hint="eastAsia" w:ascii="仿宋" w:hAnsi="仿宋" w:eastAsia="仿宋" w:cs="仿宋"/>
          <w:b/>
          <w:bCs w:val="0"/>
          <w:color w:val="000000"/>
          <w:sz w:val="32"/>
          <w:szCs w:val="32"/>
        </w:rPr>
        <w:t>社会保障和就业</w:t>
      </w:r>
      <w:r>
        <w:rPr>
          <w:rStyle w:val="19"/>
          <w:rFonts w:hint="eastAsia" w:ascii="仿宋" w:hAnsi="仿宋" w:eastAsia="仿宋" w:cs="仿宋"/>
          <w:b/>
          <w:bCs w:val="0"/>
          <w:sz w:val="32"/>
          <w:szCs w:val="32"/>
        </w:rPr>
        <w:t>（类）</w:t>
      </w:r>
      <w:r>
        <w:rPr>
          <w:rStyle w:val="19"/>
          <w:rFonts w:hint="eastAsia" w:ascii="仿宋" w:hAnsi="仿宋" w:eastAsia="仿宋" w:cs="仿宋"/>
          <w:b/>
          <w:bCs w:val="0"/>
          <w:sz w:val="32"/>
          <w:szCs w:val="32"/>
          <w:lang w:eastAsia="zh-CN"/>
        </w:rPr>
        <w:t>行政事业单位养老</w:t>
      </w:r>
      <w:r>
        <w:rPr>
          <w:rStyle w:val="19"/>
          <w:rFonts w:hint="eastAsia" w:ascii="仿宋" w:hAnsi="仿宋" w:eastAsia="仿宋" w:cs="仿宋"/>
          <w:b/>
          <w:bCs w:val="0"/>
          <w:sz w:val="32"/>
          <w:szCs w:val="32"/>
        </w:rPr>
        <w:t>（款）</w:t>
      </w:r>
      <w:r>
        <w:rPr>
          <w:rStyle w:val="19"/>
          <w:rFonts w:hint="eastAsia" w:ascii="仿宋" w:hAnsi="仿宋" w:eastAsia="仿宋" w:cs="仿宋"/>
          <w:b/>
          <w:bCs w:val="0"/>
          <w:sz w:val="32"/>
          <w:szCs w:val="32"/>
          <w:lang w:eastAsia="zh-CN"/>
        </w:rPr>
        <w:t>机关事业单位基</w:t>
      </w:r>
      <w:r>
        <w:rPr>
          <w:rStyle w:val="19"/>
          <w:rFonts w:hint="eastAsia" w:ascii="仿宋" w:hAnsi="仿宋" w:eastAsia="仿宋" w:cs="仿宋"/>
          <w:b/>
          <w:bCs w:val="0"/>
          <w:sz w:val="32"/>
          <w:szCs w:val="32"/>
          <w:lang w:val="en-US" w:eastAsia="zh-CN"/>
        </w:rPr>
        <w:t>本</w:t>
      </w:r>
      <w:r>
        <w:rPr>
          <w:rStyle w:val="19"/>
          <w:rFonts w:hint="eastAsia" w:ascii="仿宋" w:hAnsi="仿宋" w:eastAsia="仿宋" w:cs="仿宋"/>
          <w:b/>
          <w:bCs w:val="0"/>
          <w:sz w:val="32"/>
          <w:szCs w:val="32"/>
          <w:lang w:eastAsia="zh-CN"/>
        </w:rPr>
        <w:t>养老保险缴费支出</w:t>
      </w:r>
      <w:r>
        <w:rPr>
          <w:rStyle w:val="19"/>
          <w:rFonts w:hint="eastAsia" w:ascii="仿宋" w:hAnsi="仿宋" w:eastAsia="仿宋" w:cs="仿宋"/>
          <w:b/>
          <w:bCs w:val="0"/>
          <w:sz w:val="32"/>
          <w:szCs w:val="32"/>
        </w:rPr>
        <w:t>（项）</w:t>
      </w:r>
      <w:r>
        <w:rPr>
          <w:rStyle w:val="19"/>
          <w:rFonts w:hint="eastAsia" w:ascii="仿宋" w:hAnsi="仿宋" w:eastAsia="仿宋" w:cs="仿宋"/>
          <w:b w:val="0"/>
          <w:bCs/>
          <w:color w:val="000000"/>
          <w:sz w:val="32"/>
          <w:szCs w:val="32"/>
        </w:rPr>
        <w:t>: 支出决算为</w:t>
      </w:r>
      <w:r>
        <w:rPr>
          <w:rStyle w:val="19"/>
          <w:rFonts w:hint="eastAsia" w:ascii="仿宋" w:hAnsi="仿宋" w:eastAsia="仿宋" w:cs="仿宋"/>
          <w:b w:val="0"/>
          <w:bCs/>
          <w:color w:val="000000"/>
          <w:sz w:val="32"/>
          <w:szCs w:val="32"/>
          <w:lang w:val="en-US" w:eastAsia="zh-CN"/>
        </w:rPr>
        <w:t>420.00</w:t>
      </w:r>
      <w:r>
        <w:rPr>
          <w:rStyle w:val="19"/>
          <w:rFonts w:hint="eastAsia" w:ascii="仿宋" w:hAnsi="仿宋" w:eastAsia="仿宋" w:cs="仿宋"/>
          <w:b w:val="0"/>
          <w:bCs/>
          <w:color w:val="000000"/>
          <w:sz w:val="32"/>
          <w:szCs w:val="32"/>
        </w:rPr>
        <w:t>万元，完成预算100.00%</w:t>
      </w:r>
      <w:r>
        <w:rPr>
          <w:rStyle w:val="19"/>
          <w:rFonts w:hint="eastAsia" w:ascii="仿宋" w:hAnsi="仿宋" w:eastAsia="仿宋" w:cs="仿宋"/>
          <w:b w:val="0"/>
          <w:bCs/>
          <w:color w:val="000000"/>
          <w:sz w:val="32"/>
          <w:szCs w:val="32"/>
          <w:lang w:eastAsia="zh-CN"/>
        </w:rPr>
        <w:t>。</w:t>
      </w:r>
    </w:p>
    <w:p>
      <w:pPr>
        <w:pStyle w:val="2"/>
        <w:rPr>
          <w:rFonts w:hint="eastAsia" w:ascii="仿宋" w:hAnsi="仿宋" w:eastAsia="仿宋" w:cs="仿宋"/>
          <w:b w:val="0"/>
          <w:bCs w:val="0"/>
          <w:sz w:val="32"/>
          <w:szCs w:val="32"/>
          <w:lang w:val="en-US" w:eastAsia="zh-CN"/>
        </w:rPr>
      </w:pPr>
      <w:r>
        <w:rPr>
          <w:rStyle w:val="19"/>
          <w:rFonts w:hint="eastAsia" w:ascii="仿宋" w:hAnsi="仿宋" w:eastAsia="仿宋" w:cs="仿宋"/>
          <w:b w:val="0"/>
          <w:bCs/>
          <w:color w:val="000000"/>
          <w:sz w:val="32"/>
          <w:szCs w:val="32"/>
          <w:lang w:val="en-US" w:eastAsia="zh-CN"/>
        </w:rPr>
        <w:t xml:space="preserve">    3.</w:t>
      </w:r>
      <w:r>
        <w:rPr>
          <w:rStyle w:val="19"/>
          <w:rFonts w:hint="eastAsia" w:ascii="仿宋" w:hAnsi="仿宋" w:eastAsia="仿宋" w:cs="仿宋"/>
          <w:b/>
          <w:bCs/>
          <w:color w:val="000000"/>
          <w:sz w:val="32"/>
          <w:szCs w:val="32"/>
        </w:rPr>
        <w:t>社会保障和就业</w:t>
      </w:r>
      <w:r>
        <w:rPr>
          <w:rStyle w:val="19"/>
          <w:rFonts w:hint="eastAsia" w:ascii="仿宋" w:hAnsi="仿宋" w:eastAsia="仿宋" w:cs="仿宋"/>
          <w:b/>
          <w:bCs/>
          <w:sz w:val="32"/>
          <w:szCs w:val="32"/>
        </w:rPr>
        <w:t>（类）</w:t>
      </w:r>
      <w:r>
        <w:rPr>
          <w:rStyle w:val="19"/>
          <w:rFonts w:hint="eastAsia" w:ascii="仿宋" w:hAnsi="仿宋" w:eastAsia="仿宋" w:cs="仿宋"/>
          <w:b/>
          <w:bCs/>
          <w:sz w:val="32"/>
          <w:szCs w:val="32"/>
          <w:lang w:eastAsia="zh-CN"/>
        </w:rPr>
        <w:t>行政事业单位养老</w:t>
      </w:r>
      <w:r>
        <w:rPr>
          <w:rStyle w:val="19"/>
          <w:rFonts w:hint="eastAsia" w:ascii="仿宋" w:hAnsi="仿宋" w:eastAsia="仿宋" w:cs="仿宋"/>
          <w:b/>
          <w:bCs/>
          <w:sz w:val="32"/>
          <w:szCs w:val="32"/>
        </w:rPr>
        <w:t>（款）</w:t>
      </w:r>
      <w:r>
        <w:rPr>
          <w:rStyle w:val="19"/>
          <w:rFonts w:hint="eastAsia" w:ascii="仿宋" w:hAnsi="仿宋" w:eastAsia="仿宋" w:cs="仿宋"/>
          <w:b/>
          <w:bCs/>
          <w:sz w:val="32"/>
          <w:szCs w:val="32"/>
          <w:lang w:eastAsia="zh-CN"/>
        </w:rPr>
        <w:t>机关事业单位职业年金缴费支出</w:t>
      </w:r>
      <w:r>
        <w:rPr>
          <w:rStyle w:val="19"/>
          <w:rFonts w:hint="eastAsia" w:ascii="仿宋" w:hAnsi="仿宋" w:eastAsia="仿宋" w:cs="仿宋"/>
          <w:b/>
          <w:bCs/>
          <w:sz w:val="32"/>
          <w:szCs w:val="32"/>
        </w:rPr>
        <w:t>（项）</w:t>
      </w:r>
      <w:r>
        <w:rPr>
          <w:rStyle w:val="19"/>
          <w:rFonts w:hint="eastAsia" w:ascii="仿宋" w:hAnsi="仿宋" w:eastAsia="仿宋" w:cs="仿宋"/>
          <w:b w:val="0"/>
          <w:bCs w:val="0"/>
          <w:color w:val="000000"/>
          <w:sz w:val="32"/>
          <w:szCs w:val="32"/>
        </w:rPr>
        <w:t>: 支出决算为</w:t>
      </w:r>
      <w:r>
        <w:rPr>
          <w:rStyle w:val="19"/>
          <w:rFonts w:hint="eastAsia" w:ascii="仿宋" w:hAnsi="仿宋" w:eastAsia="仿宋" w:cs="仿宋"/>
          <w:b w:val="0"/>
          <w:bCs w:val="0"/>
          <w:color w:val="000000"/>
          <w:sz w:val="32"/>
          <w:szCs w:val="32"/>
          <w:lang w:val="en-US" w:eastAsia="zh-CN"/>
        </w:rPr>
        <w:t>210.00</w:t>
      </w:r>
      <w:r>
        <w:rPr>
          <w:rStyle w:val="19"/>
          <w:rFonts w:hint="eastAsia" w:ascii="仿宋" w:hAnsi="仿宋" w:eastAsia="仿宋" w:cs="仿宋"/>
          <w:b w:val="0"/>
          <w:bCs w:val="0"/>
          <w:color w:val="000000"/>
          <w:sz w:val="32"/>
          <w:szCs w:val="32"/>
        </w:rPr>
        <w:t>万元，完成预算100.00%</w:t>
      </w:r>
      <w:r>
        <w:rPr>
          <w:rStyle w:val="19"/>
          <w:rFonts w:hint="eastAsia" w:ascii="仿宋" w:hAnsi="仿宋" w:eastAsia="仿宋" w:cs="仿宋"/>
          <w:b w:val="0"/>
          <w:bCs w:val="0"/>
          <w:color w:val="000000"/>
          <w:sz w:val="32"/>
          <w:szCs w:val="32"/>
          <w:lang w:eastAsia="zh-CN"/>
        </w:rPr>
        <w:t>。</w:t>
      </w:r>
    </w:p>
    <w:p>
      <w:pPr>
        <w:pStyle w:val="2"/>
        <w:rPr>
          <w:rStyle w:val="19"/>
          <w:rFonts w:hint="eastAsia" w:ascii="仿宋" w:hAnsi="仿宋" w:eastAsia="仿宋" w:cs="仿宋"/>
          <w:b w:val="0"/>
          <w:bCs w:val="0"/>
          <w:color w:val="000000"/>
          <w:sz w:val="32"/>
          <w:szCs w:val="32"/>
          <w:lang w:val="en-US" w:eastAsia="zh-CN"/>
        </w:rPr>
      </w:pPr>
      <w:r>
        <w:rPr>
          <w:rStyle w:val="19"/>
          <w:rFonts w:hint="eastAsia" w:ascii="仿宋" w:hAnsi="仿宋" w:eastAsia="仿宋" w:cs="仿宋"/>
          <w:b w:val="0"/>
          <w:bCs w:val="0"/>
          <w:color w:val="000000"/>
          <w:sz w:val="32"/>
          <w:szCs w:val="32"/>
          <w:lang w:val="en-US" w:eastAsia="zh-CN"/>
        </w:rPr>
        <w:t xml:space="preserve">    4.</w:t>
      </w:r>
      <w:r>
        <w:rPr>
          <w:rStyle w:val="19"/>
          <w:rFonts w:hint="eastAsia" w:ascii="仿宋" w:hAnsi="仿宋" w:eastAsia="仿宋" w:cs="仿宋"/>
          <w:b/>
          <w:bCs/>
          <w:color w:val="000000"/>
          <w:sz w:val="32"/>
          <w:szCs w:val="32"/>
        </w:rPr>
        <w:t>社会保障和就业</w:t>
      </w:r>
      <w:r>
        <w:rPr>
          <w:rStyle w:val="19"/>
          <w:rFonts w:hint="eastAsia" w:ascii="仿宋" w:hAnsi="仿宋" w:eastAsia="仿宋" w:cs="仿宋"/>
          <w:b/>
          <w:bCs/>
          <w:sz w:val="32"/>
          <w:szCs w:val="32"/>
        </w:rPr>
        <w:t>（类）</w:t>
      </w:r>
      <w:r>
        <w:rPr>
          <w:rStyle w:val="19"/>
          <w:rFonts w:hint="eastAsia" w:ascii="仿宋" w:hAnsi="仿宋" w:eastAsia="仿宋" w:cs="仿宋"/>
          <w:b/>
          <w:bCs/>
          <w:sz w:val="32"/>
          <w:szCs w:val="32"/>
          <w:lang w:eastAsia="zh-CN"/>
        </w:rPr>
        <w:t>其他社会保障和就业支出</w:t>
      </w:r>
      <w:r>
        <w:rPr>
          <w:rStyle w:val="19"/>
          <w:rFonts w:hint="eastAsia" w:ascii="仿宋" w:hAnsi="仿宋" w:eastAsia="仿宋" w:cs="仿宋"/>
          <w:b/>
          <w:bCs/>
          <w:sz w:val="32"/>
          <w:szCs w:val="32"/>
        </w:rPr>
        <w:t>（款）</w:t>
      </w:r>
      <w:r>
        <w:rPr>
          <w:rStyle w:val="19"/>
          <w:rFonts w:hint="eastAsia" w:ascii="仿宋" w:hAnsi="仿宋" w:eastAsia="仿宋" w:cs="仿宋"/>
          <w:b/>
          <w:bCs/>
          <w:sz w:val="32"/>
          <w:szCs w:val="32"/>
          <w:lang w:eastAsia="zh-CN"/>
        </w:rPr>
        <w:t>其他社会保障和就业支出</w:t>
      </w:r>
      <w:r>
        <w:rPr>
          <w:rStyle w:val="19"/>
          <w:rFonts w:hint="eastAsia" w:ascii="仿宋" w:hAnsi="仿宋" w:eastAsia="仿宋" w:cs="仿宋"/>
          <w:b/>
          <w:bCs/>
          <w:sz w:val="32"/>
          <w:szCs w:val="32"/>
        </w:rPr>
        <w:t>（项）</w:t>
      </w:r>
      <w:r>
        <w:rPr>
          <w:rStyle w:val="19"/>
          <w:rFonts w:hint="eastAsia" w:ascii="仿宋" w:hAnsi="仿宋" w:eastAsia="仿宋" w:cs="仿宋"/>
          <w:b w:val="0"/>
          <w:bCs w:val="0"/>
          <w:color w:val="000000"/>
          <w:sz w:val="32"/>
          <w:szCs w:val="32"/>
        </w:rPr>
        <w:t>: 支出决算为</w:t>
      </w:r>
      <w:r>
        <w:rPr>
          <w:rStyle w:val="19"/>
          <w:rFonts w:hint="eastAsia" w:ascii="仿宋" w:hAnsi="仿宋" w:eastAsia="仿宋" w:cs="仿宋"/>
          <w:b w:val="0"/>
          <w:bCs w:val="0"/>
          <w:color w:val="000000"/>
          <w:sz w:val="32"/>
          <w:szCs w:val="32"/>
          <w:lang w:val="en-US" w:eastAsia="zh-CN"/>
        </w:rPr>
        <w:t>2.73</w:t>
      </w:r>
      <w:r>
        <w:rPr>
          <w:rStyle w:val="19"/>
          <w:rFonts w:hint="eastAsia" w:ascii="仿宋" w:hAnsi="仿宋" w:eastAsia="仿宋" w:cs="仿宋"/>
          <w:b w:val="0"/>
          <w:bCs w:val="0"/>
          <w:color w:val="000000"/>
          <w:sz w:val="32"/>
          <w:szCs w:val="32"/>
        </w:rPr>
        <w:t>万元，完成预算100.00%</w:t>
      </w:r>
      <w:r>
        <w:rPr>
          <w:rStyle w:val="19"/>
          <w:rFonts w:hint="eastAsia" w:ascii="仿宋" w:hAnsi="仿宋" w:eastAsia="仿宋" w:cs="仿宋"/>
          <w:b w:val="0"/>
          <w:bCs w:val="0"/>
          <w:color w:val="000000"/>
          <w:sz w:val="32"/>
          <w:szCs w:val="32"/>
          <w:lang w:eastAsia="zh-CN"/>
        </w:rPr>
        <w:t>。</w:t>
      </w:r>
    </w:p>
    <w:p>
      <w:pPr>
        <w:spacing w:line="600" w:lineRule="exact"/>
        <w:ind w:firstLine="640" w:firstLineChars="200"/>
        <w:rPr>
          <w:rStyle w:val="19"/>
          <w:rFonts w:hint="eastAsia" w:ascii="仿宋" w:hAnsi="仿宋" w:eastAsia="仿宋" w:cs="仿宋"/>
          <w:b w:val="0"/>
          <w:bCs w:val="0"/>
          <w:color w:val="000000"/>
          <w:sz w:val="32"/>
          <w:szCs w:val="32"/>
        </w:rPr>
      </w:pPr>
      <w:r>
        <w:rPr>
          <w:rStyle w:val="19"/>
          <w:rFonts w:hint="eastAsia" w:ascii="仿宋" w:hAnsi="仿宋" w:eastAsia="仿宋" w:cs="仿宋"/>
          <w:b w:val="0"/>
          <w:bCs w:val="0"/>
          <w:color w:val="000000"/>
          <w:kern w:val="0"/>
          <w:sz w:val="32"/>
          <w:szCs w:val="32"/>
          <w:lang w:val="en-US" w:eastAsia="zh-CN" w:bidi="ar-SA"/>
        </w:rPr>
        <w:t>5.</w:t>
      </w:r>
      <w:r>
        <w:rPr>
          <w:rFonts w:hint="eastAsia" w:ascii="仿宋" w:hAnsi="仿宋" w:eastAsia="仿宋" w:cs="仿宋"/>
          <w:b/>
          <w:bCs/>
          <w:color w:val="000000" w:themeColor="text1"/>
          <w:sz w:val="32"/>
          <w:szCs w:val="32"/>
          <w14:textFill>
            <w14:solidFill>
              <w14:schemeClr w14:val="tx1"/>
            </w14:solidFill>
          </w14:textFill>
        </w:rPr>
        <w:t>卫生健康</w:t>
      </w:r>
      <w:r>
        <w:rPr>
          <w:rStyle w:val="19"/>
          <w:rFonts w:hint="eastAsia" w:ascii="仿宋" w:hAnsi="仿宋" w:eastAsia="仿宋" w:cs="仿宋"/>
          <w:b/>
          <w:bCs/>
          <w:color w:val="000000"/>
          <w:sz w:val="32"/>
          <w:szCs w:val="32"/>
        </w:rPr>
        <w:t>（类）</w:t>
      </w:r>
      <w:r>
        <w:rPr>
          <w:rStyle w:val="19"/>
          <w:rFonts w:hint="eastAsia" w:ascii="仿宋" w:hAnsi="仿宋" w:eastAsia="仿宋" w:cs="仿宋"/>
          <w:b/>
          <w:bCs/>
          <w:color w:val="000000"/>
          <w:sz w:val="32"/>
          <w:szCs w:val="32"/>
          <w:lang w:eastAsia="zh-CN"/>
        </w:rPr>
        <w:t>行政事业单位医疗</w:t>
      </w:r>
      <w:r>
        <w:rPr>
          <w:rStyle w:val="19"/>
          <w:rFonts w:hint="eastAsia" w:ascii="仿宋" w:hAnsi="仿宋" w:eastAsia="仿宋" w:cs="仿宋"/>
          <w:b/>
          <w:bCs/>
          <w:color w:val="000000"/>
          <w:sz w:val="32"/>
          <w:szCs w:val="32"/>
        </w:rPr>
        <w:t>（款）</w:t>
      </w:r>
      <w:r>
        <w:rPr>
          <w:rStyle w:val="19"/>
          <w:rFonts w:hint="eastAsia" w:ascii="仿宋" w:hAnsi="仿宋" w:eastAsia="仿宋" w:cs="仿宋"/>
          <w:b/>
          <w:bCs/>
          <w:color w:val="000000"/>
          <w:sz w:val="32"/>
          <w:szCs w:val="32"/>
          <w:lang w:eastAsia="zh-CN"/>
        </w:rPr>
        <w:t>事业单位医疗</w:t>
      </w:r>
      <w:r>
        <w:rPr>
          <w:rStyle w:val="19"/>
          <w:rFonts w:hint="eastAsia" w:ascii="仿宋" w:hAnsi="仿宋" w:eastAsia="仿宋" w:cs="仿宋"/>
          <w:b/>
          <w:bCs/>
          <w:color w:val="000000"/>
          <w:sz w:val="32"/>
          <w:szCs w:val="32"/>
        </w:rPr>
        <w:t>（项）</w:t>
      </w:r>
      <w:r>
        <w:rPr>
          <w:rStyle w:val="19"/>
          <w:rFonts w:hint="eastAsia" w:ascii="仿宋" w:hAnsi="仿宋" w:eastAsia="仿宋" w:cs="仿宋"/>
          <w:b w:val="0"/>
          <w:bCs w:val="0"/>
          <w:color w:val="000000"/>
          <w:sz w:val="32"/>
          <w:szCs w:val="32"/>
        </w:rPr>
        <w:t>:支出决算为15</w:t>
      </w:r>
      <w:r>
        <w:rPr>
          <w:rStyle w:val="19"/>
          <w:rFonts w:hint="eastAsia" w:ascii="仿宋" w:hAnsi="仿宋" w:eastAsia="仿宋" w:cs="仿宋"/>
          <w:b w:val="0"/>
          <w:bCs w:val="0"/>
          <w:color w:val="000000"/>
          <w:sz w:val="32"/>
          <w:szCs w:val="32"/>
          <w:lang w:val="en-US" w:eastAsia="zh-CN"/>
        </w:rPr>
        <w:t>4</w:t>
      </w:r>
      <w:r>
        <w:rPr>
          <w:rStyle w:val="19"/>
          <w:rFonts w:hint="eastAsia" w:ascii="仿宋" w:hAnsi="仿宋" w:eastAsia="仿宋" w:cs="仿宋"/>
          <w:b w:val="0"/>
          <w:bCs w:val="0"/>
          <w:color w:val="000000"/>
          <w:sz w:val="32"/>
          <w:szCs w:val="32"/>
        </w:rPr>
        <w:t>.00万元，完成预算100.00%。</w:t>
      </w:r>
    </w:p>
    <w:p>
      <w:pPr>
        <w:spacing w:line="600" w:lineRule="exact"/>
        <w:ind w:firstLine="640" w:firstLineChars="200"/>
        <w:rPr>
          <w:rStyle w:val="19"/>
          <w:rFonts w:hint="eastAsia" w:ascii="仿宋" w:hAnsi="仿宋" w:eastAsia="仿宋" w:cs="仿宋"/>
          <w:b w:val="0"/>
          <w:bCs w:val="0"/>
          <w:color w:val="000000"/>
          <w:sz w:val="32"/>
          <w:szCs w:val="32"/>
        </w:rPr>
      </w:pPr>
      <w:r>
        <w:rPr>
          <w:rStyle w:val="19"/>
          <w:rFonts w:hint="eastAsia" w:ascii="仿宋" w:hAnsi="仿宋" w:eastAsia="仿宋" w:cs="仿宋"/>
          <w:b w:val="0"/>
          <w:bCs w:val="0"/>
          <w:color w:val="000000"/>
          <w:sz w:val="32"/>
          <w:szCs w:val="32"/>
          <w:lang w:val="en-US" w:eastAsia="zh-CN"/>
        </w:rPr>
        <w:t>6</w:t>
      </w:r>
      <w:r>
        <w:rPr>
          <w:rStyle w:val="19"/>
          <w:rFonts w:hint="eastAsia" w:ascii="仿宋" w:hAnsi="仿宋" w:eastAsia="仿宋" w:cs="仿宋"/>
          <w:b w:val="0"/>
          <w:bCs w:val="0"/>
          <w:color w:val="000000"/>
          <w:sz w:val="32"/>
          <w:szCs w:val="32"/>
        </w:rPr>
        <w:t>.</w:t>
      </w:r>
      <w:r>
        <w:rPr>
          <w:rStyle w:val="19"/>
          <w:rFonts w:hint="eastAsia" w:ascii="仿宋" w:hAnsi="仿宋" w:eastAsia="仿宋" w:cs="仿宋"/>
          <w:b/>
          <w:bCs/>
          <w:color w:val="000000"/>
          <w:sz w:val="32"/>
          <w:szCs w:val="32"/>
        </w:rPr>
        <w:t>资源勘探工业信息等（类）</w:t>
      </w:r>
      <w:r>
        <w:rPr>
          <w:rStyle w:val="19"/>
          <w:rFonts w:hint="eastAsia" w:ascii="仿宋" w:hAnsi="仿宋" w:eastAsia="仿宋" w:cs="仿宋"/>
          <w:b/>
          <w:bCs/>
          <w:color w:val="000000"/>
          <w:sz w:val="32"/>
          <w:szCs w:val="32"/>
          <w:lang w:eastAsia="zh-CN"/>
        </w:rPr>
        <w:t>资源勘探开发</w:t>
      </w:r>
      <w:r>
        <w:rPr>
          <w:rStyle w:val="19"/>
          <w:rFonts w:hint="eastAsia" w:ascii="仿宋" w:hAnsi="仿宋" w:eastAsia="仿宋" w:cs="仿宋"/>
          <w:b/>
          <w:bCs/>
          <w:color w:val="000000"/>
          <w:sz w:val="32"/>
          <w:szCs w:val="32"/>
        </w:rPr>
        <w:t>（款）</w:t>
      </w:r>
      <w:r>
        <w:rPr>
          <w:rStyle w:val="19"/>
          <w:rFonts w:hint="eastAsia" w:ascii="仿宋" w:hAnsi="仿宋" w:eastAsia="仿宋" w:cs="仿宋"/>
          <w:b/>
          <w:bCs/>
          <w:color w:val="000000"/>
          <w:sz w:val="32"/>
          <w:szCs w:val="32"/>
          <w:lang w:eastAsia="zh-CN"/>
        </w:rPr>
        <w:t>其他资源勘探业支出</w:t>
      </w:r>
      <w:r>
        <w:rPr>
          <w:rStyle w:val="19"/>
          <w:rFonts w:hint="eastAsia" w:ascii="仿宋" w:hAnsi="仿宋" w:eastAsia="仿宋" w:cs="仿宋"/>
          <w:b/>
          <w:bCs/>
          <w:color w:val="000000"/>
          <w:sz w:val="32"/>
          <w:szCs w:val="32"/>
        </w:rPr>
        <w:t>（项）</w:t>
      </w:r>
      <w:r>
        <w:rPr>
          <w:rStyle w:val="19"/>
          <w:rFonts w:hint="eastAsia" w:ascii="仿宋" w:hAnsi="仿宋" w:eastAsia="仿宋" w:cs="仿宋"/>
          <w:b w:val="0"/>
          <w:bCs w:val="0"/>
          <w:color w:val="000000"/>
          <w:sz w:val="32"/>
          <w:szCs w:val="32"/>
        </w:rPr>
        <w:t>:支出决算为2,7</w:t>
      </w:r>
      <w:r>
        <w:rPr>
          <w:rStyle w:val="19"/>
          <w:rFonts w:hint="eastAsia" w:ascii="仿宋" w:hAnsi="仿宋" w:eastAsia="仿宋" w:cs="仿宋"/>
          <w:b w:val="0"/>
          <w:bCs w:val="0"/>
          <w:color w:val="000000"/>
          <w:sz w:val="32"/>
          <w:szCs w:val="32"/>
          <w:lang w:val="en-US" w:eastAsia="zh-CN"/>
        </w:rPr>
        <w:t>48.36</w:t>
      </w:r>
      <w:r>
        <w:rPr>
          <w:rStyle w:val="19"/>
          <w:rFonts w:hint="eastAsia" w:ascii="仿宋" w:hAnsi="仿宋" w:eastAsia="仿宋" w:cs="仿宋"/>
          <w:b w:val="0"/>
          <w:bCs w:val="0"/>
          <w:color w:val="000000"/>
          <w:sz w:val="32"/>
          <w:szCs w:val="32"/>
        </w:rPr>
        <w:t>万元，完成预算100.00%。</w:t>
      </w:r>
    </w:p>
    <w:p>
      <w:pPr>
        <w:spacing w:line="600" w:lineRule="exact"/>
        <w:ind w:firstLine="640" w:firstLineChars="200"/>
        <w:rPr>
          <w:rFonts w:hint="eastAsia" w:ascii="仿宋" w:hAnsi="仿宋" w:eastAsia="仿宋" w:cs="仿宋"/>
          <w:b w:val="0"/>
          <w:bCs w:val="0"/>
          <w:color w:val="auto"/>
          <w:sz w:val="32"/>
          <w:szCs w:val="32"/>
        </w:rPr>
      </w:pPr>
      <w:r>
        <w:rPr>
          <w:rStyle w:val="19"/>
          <w:rFonts w:hint="eastAsia" w:ascii="仿宋" w:hAnsi="仿宋" w:eastAsia="仿宋" w:cs="仿宋"/>
          <w:b w:val="0"/>
          <w:bCs w:val="0"/>
          <w:color w:val="000000"/>
          <w:sz w:val="32"/>
          <w:szCs w:val="32"/>
          <w:lang w:val="en-US" w:eastAsia="zh-CN"/>
        </w:rPr>
        <w:t>7</w:t>
      </w:r>
      <w:r>
        <w:rPr>
          <w:rStyle w:val="19"/>
          <w:rFonts w:hint="eastAsia" w:ascii="仿宋" w:hAnsi="仿宋" w:eastAsia="仿宋" w:cs="仿宋"/>
          <w:b w:val="0"/>
          <w:bCs w:val="0"/>
          <w:color w:val="000000"/>
          <w:sz w:val="32"/>
          <w:szCs w:val="32"/>
        </w:rPr>
        <w:t>.</w:t>
      </w:r>
      <w:r>
        <w:rPr>
          <w:rFonts w:hint="eastAsia" w:ascii="仿宋" w:hAnsi="仿宋" w:eastAsia="仿宋" w:cs="仿宋"/>
          <w:b/>
          <w:bCs/>
          <w:color w:val="000000" w:themeColor="text1"/>
          <w:sz w:val="32"/>
          <w:szCs w:val="32"/>
          <w14:textFill>
            <w14:solidFill>
              <w14:schemeClr w14:val="tx1"/>
            </w14:solidFill>
          </w14:textFill>
        </w:rPr>
        <w:t>住房保障</w:t>
      </w:r>
      <w:r>
        <w:rPr>
          <w:rStyle w:val="19"/>
          <w:rFonts w:hint="eastAsia" w:ascii="仿宋" w:hAnsi="仿宋" w:eastAsia="仿宋" w:cs="仿宋"/>
          <w:b/>
          <w:bCs/>
          <w:color w:val="000000"/>
          <w:sz w:val="32"/>
          <w:szCs w:val="32"/>
        </w:rPr>
        <w:t>（类）</w:t>
      </w:r>
      <w:r>
        <w:rPr>
          <w:rStyle w:val="19"/>
          <w:rFonts w:hint="eastAsia" w:ascii="仿宋" w:hAnsi="仿宋" w:eastAsia="仿宋" w:cs="仿宋"/>
          <w:b/>
          <w:bCs/>
          <w:color w:val="000000"/>
          <w:sz w:val="32"/>
          <w:szCs w:val="32"/>
          <w:lang w:eastAsia="zh-CN"/>
        </w:rPr>
        <w:t>住房改革支出</w:t>
      </w:r>
      <w:r>
        <w:rPr>
          <w:rStyle w:val="19"/>
          <w:rFonts w:hint="eastAsia" w:ascii="仿宋" w:hAnsi="仿宋" w:eastAsia="仿宋" w:cs="仿宋"/>
          <w:b/>
          <w:bCs/>
          <w:color w:val="000000"/>
          <w:sz w:val="32"/>
          <w:szCs w:val="32"/>
        </w:rPr>
        <w:t>（款）</w:t>
      </w:r>
      <w:r>
        <w:rPr>
          <w:rStyle w:val="19"/>
          <w:rFonts w:hint="eastAsia" w:ascii="仿宋" w:hAnsi="仿宋" w:eastAsia="仿宋" w:cs="仿宋"/>
          <w:b/>
          <w:bCs/>
          <w:color w:val="000000"/>
          <w:sz w:val="32"/>
          <w:szCs w:val="32"/>
          <w:lang w:eastAsia="zh-CN"/>
        </w:rPr>
        <w:t>住房公积金</w:t>
      </w:r>
      <w:r>
        <w:rPr>
          <w:rStyle w:val="19"/>
          <w:rFonts w:hint="eastAsia" w:ascii="仿宋" w:hAnsi="仿宋" w:eastAsia="仿宋" w:cs="仿宋"/>
          <w:b/>
          <w:bCs/>
          <w:color w:val="000000"/>
          <w:sz w:val="32"/>
          <w:szCs w:val="32"/>
        </w:rPr>
        <w:t>（项）</w:t>
      </w:r>
      <w:r>
        <w:rPr>
          <w:rStyle w:val="19"/>
          <w:rFonts w:hint="eastAsia" w:ascii="仿宋" w:hAnsi="仿宋" w:eastAsia="仿宋" w:cs="仿宋"/>
          <w:b w:val="0"/>
          <w:bCs w:val="0"/>
          <w:color w:val="000000"/>
          <w:sz w:val="32"/>
          <w:szCs w:val="32"/>
        </w:rPr>
        <w:t>:支出决算为3</w:t>
      </w:r>
      <w:r>
        <w:rPr>
          <w:rStyle w:val="19"/>
          <w:rFonts w:hint="eastAsia" w:ascii="仿宋" w:hAnsi="仿宋" w:eastAsia="仿宋" w:cs="仿宋"/>
          <w:b w:val="0"/>
          <w:bCs w:val="0"/>
          <w:color w:val="000000"/>
          <w:sz w:val="32"/>
          <w:szCs w:val="32"/>
          <w:lang w:val="en-US" w:eastAsia="zh-CN"/>
        </w:rPr>
        <w:t>62.00</w:t>
      </w:r>
      <w:r>
        <w:rPr>
          <w:rStyle w:val="19"/>
          <w:rFonts w:hint="eastAsia" w:ascii="仿宋" w:hAnsi="仿宋" w:eastAsia="仿宋" w:cs="仿宋"/>
          <w:b w:val="0"/>
          <w:bCs w:val="0"/>
          <w:color w:val="000000"/>
          <w:sz w:val="32"/>
          <w:szCs w:val="32"/>
        </w:rPr>
        <w:t>万元，完成预算100.00%。</w:t>
      </w:r>
    </w:p>
    <w:p>
      <w:pPr>
        <w:tabs>
          <w:tab w:val="right" w:pos="8306"/>
        </w:tabs>
        <w:spacing w:line="600" w:lineRule="exact"/>
        <w:ind w:firstLine="640"/>
        <w:outlineLvl w:val="1"/>
        <w:rPr>
          <w:rFonts w:hint="eastAsia" w:ascii="黑体" w:eastAsia="黑体"/>
          <w:color w:val="auto"/>
          <w:sz w:val="32"/>
          <w:szCs w:val="32"/>
          <w:highlight w:val="none"/>
        </w:rPr>
      </w:pPr>
      <w:bookmarkStart w:id="34" w:name="_Toc15377214"/>
      <w:bookmarkStart w:id="35" w:name="_Toc15396608"/>
    </w:p>
    <w:p>
      <w:pPr>
        <w:tabs>
          <w:tab w:val="right" w:pos="8306"/>
        </w:tabs>
        <w:spacing w:line="600" w:lineRule="exact"/>
        <w:ind w:firstLine="640"/>
        <w:outlineLvl w:val="1"/>
        <w:rPr>
          <w:rStyle w:val="30"/>
          <w:color w:val="auto"/>
          <w:highlight w:val="none"/>
        </w:rPr>
      </w:pPr>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30"/>
          <w:rFonts w:hint="eastAsia" w:ascii="黑体" w:hAnsi="黑体" w:eastAsia="黑体"/>
          <w:b w:val="0"/>
          <w:color w:val="auto"/>
          <w:highlight w:val="none"/>
        </w:rPr>
        <w:t>般公共预算财政拨款基本支出决算情况说明</w:t>
      </w:r>
      <w:bookmarkEnd w:id="34"/>
      <w:bookmarkEnd w:id="35"/>
      <w:r>
        <w:rPr>
          <w:rStyle w:val="30"/>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4,687.78</w:t>
      </w:r>
      <w:r>
        <w:rPr>
          <w:rFonts w:hint="eastAsia" w:ascii="仿宋" w:hAnsi="仿宋" w:eastAsia="仿宋"/>
          <w:color w:val="auto"/>
          <w:sz w:val="32"/>
          <w:szCs w:val="32"/>
          <w:highlight w:val="none"/>
        </w:rPr>
        <w:t>万元，其中：</w:t>
      </w:r>
    </w:p>
    <w:p>
      <w:pPr>
        <w:spacing w:line="600" w:lineRule="exact"/>
        <w:ind w:firstLine="645"/>
        <w:rPr>
          <w:rFonts w:hint="eastAsia" w:ascii="仿宋" w:hAnsi="仿宋" w:eastAsia="仿宋" w:cs="仿宋"/>
          <w:color w:val="000000"/>
          <w:sz w:val="32"/>
          <w:szCs w:val="32"/>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4,369.78</w:t>
      </w:r>
      <w:r>
        <w:rPr>
          <w:rFonts w:hint="eastAsia" w:ascii="仿宋" w:hAnsi="仿宋" w:eastAsia="仿宋"/>
          <w:color w:val="auto"/>
          <w:sz w:val="32"/>
          <w:szCs w:val="32"/>
          <w:highlight w:val="none"/>
        </w:rPr>
        <w:t>万元，主要包括：</w:t>
      </w:r>
      <w:r>
        <w:rPr>
          <w:rFonts w:hint="eastAsia" w:ascii="仿宋" w:hAnsi="仿宋" w:eastAsia="仿宋" w:cs="仿宋"/>
          <w:color w:val="000000"/>
          <w:sz w:val="32"/>
          <w:szCs w:val="32"/>
        </w:rPr>
        <w:t>基本工资、津贴补贴、绩效工资、机关事业单位基本养老保险缴费、职业年金缴费、职工基本医疗保险缴费、其他社会保障缴费、住房公积金、其他工资福利支出、</w:t>
      </w:r>
      <w:r>
        <w:rPr>
          <w:rFonts w:hint="eastAsia" w:ascii="仿宋" w:hAnsi="仿宋" w:eastAsia="仿宋" w:cs="仿宋"/>
          <w:color w:val="000000"/>
          <w:sz w:val="32"/>
          <w:szCs w:val="32"/>
          <w:lang w:val="en-US" w:eastAsia="zh-CN"/>
        </w:rPr>
        <w:t>退休费、</w:t>
      </w:r>
      <w:r>
        <w:rPr>
          <w:rFonts w:hint="eastAsia" w:ascii="仿宋" w:hAnsi="仿宋" w:eastAsia="仿宋" w:cs="仿宋"/>
          <w:color w:val="000000"/>
          <w:sz w:val="32"/>
          <w:szCs w:val="32"/>
        </w:rPr>
        <w:t>奖励金、其他对个人和家庭的补助支出。</w:t>
      </w:r>
    </w:p>
    <w:p>
      <w:pPr>
        <w:spacing w:line="600" w:lineRule="exact"/>
        <w:ind w:firstLine="645"/>
        <w:rPr>
          <w:rFonts w:hint="eastAsia" w:ascii="仿宋" w:hAnsi="仿宋" w:eastAsia="仿宋" w:cs="仿宋"/>
          <w:color w:val="000000"/>
          <w:sz w:val="32"/>
          <w:szCs w:val="32"/>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318.00</w:t>
      </w:r>
      <w:r>
        <w:rPr>
          <w:rFonts w:hint="eastAsia" w:ascii="仿宋" w:hAnsi="仿宋" w:eastAsia="仿宋"/>
          <w:color w:val="auto"/>
          <w:sz w:val="32"/>
          <w:szCs w:val="32"/>
          <w:highlight w:val="none"/>
        </w:rPr>
        <w:t>万元，主要包括：</w:t>
      </w:r>
      <w:r>
        <w:rPr>
          <w:rFonts w:hint="eastAsia" w:ascii="仿宋" w:hAnsi="仿宋" w:eastAsia="仿宋" w:cs="仿宋"/>
          <w:color w:val="000000"/>
          <w:sz w:val="32"/>
          <w:szCs w:val="32"/>
        </w:rPr>
        <w:t>水费、电费、差旅费、维修（护）费、工会经费、福利费、其他商品和服务支出。</w:t>
      </w:r>
    </w:p>
    <w:p>
      <w:pPr>
        <w:pStyle w:val="2"/>
      </w:pPr>
    </w:p>
    <w:p>
      <w:pPr>
        <w:spacing w:line="600" w:lineRule="exact"/>
        <w:ind w:firstLine="640"/>
        <w:outlineLvl w:val="1"/>
        <w:rPr>
          <w:rStyle w:val="30"/>
          <w:rFonts w:ascii="黑体" w:hAnsi="黑体" w:eastAsia="黑体"/>
          <w:b w:val="0"/>
          <w:color w:val="auto"/>
          <w:highlight w:val="none"/>
        </w:rPr>
      </w:pPr>
      <w:bookmarkStart w:id="36" w:name="_Toc15377215"/>
      <w:bookmarkStart w:id="37" w:name="_Toc15396609"/>
      <w:r>
        <w:rPr>
          <w:rFonts w:hint="eastAsia" w:ascii="黑体" w:eastAsia="黑体"/>
          <w:color w:val="auto"/>
          <w:sz w:val="32"/>
          <w:szCs w:val="32"/>
          <w:highlight w:val="none"/>
        </w:rPr>
        <w:t>七、</w:t>
      </w:r>
      <w:r>
        <w:rPr>
          <w:rStyle w:val="30"/>
          <w:rFonts w:hint="eastAsia" w:ascii="黑体" w:hAnsi="黑体" w:eastAsia="黑体"/>
          <w:color w:val="auto"/>
          <w:highlight w:val="none"/>
        </w:rPr>
        <w:t>“</w:t>
      </w:r>
      <w:r>
        <w:rPr>
          <w:rStyle w:val="30"/>
          <w:rFonts w:hint="eastAsia" w:ascii="黑体" w:hAnsi="黑体" w:eastAsia="黑体"/>
          <w:b w:val="0"/>
          <w:color w:val="auto"/>
          <w:highlight w:val="none"/>
        </w:rPr>
        <w:t>三公”经费财政拨款支出决算情况说明</w:t>
      </w:r>
      <w:bookmarkEnd w:id="36"/>
      <w:bookmarkEnd w:id="37"/>
    </w:p>
    <w:p>
      <w:pPr>
        <w:spacing w:line="600" w:lineRule="exact"/>
        <w:ind w:firstLine="640"/>
        <w:outlineLvl w:val="2"/>
        <w:rPr>
          <w:rFonts w:ascii="仿宋" w:hAnsi="仿宋" w:eastAsia="仿宋"/>
          <w:b/>
          <w:color w:val="auto"/>
          <w:sz w:val="32"/>
          <w:szCs w:val="32"/>
          <w:highlight w:val="none"/>
        </w:rPr>
      </w:pPr>
      <w:bookmarkStart w:id="38" w:name="_Toc15377216"/>
      <w:r>
        <w:rPr>
          <w:rFonts w:hint="eastAsia" w:ascii="仿宋" w:hAnsi="仿宋" w:eastAsia="仿宋"/>
          <w:b/>
          <w:color w:val="auto"/>
          <w:sz w:val="32"/>
          <w:szCs w:val="32"/>
          <w:highlight w:val="none"/>
        </w:rPr>
        <w:t>（一）“三公”经费财政拨款支出决算总体情况说明</w:t>
      </w:r>
      <w:bookmarkEnd w:id="38"/>
    </w:p>
    <w:p>
      <w:pPr>
        <w:spacing w:line="600" w:lineRule="exact"/>
        <w:ind w:firstLine="64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本单位2020年三公经费为 0，2021年三公经费为预算为 0，决算为0，与上年度一致，与上年度相比无增减变化。</w:t>
      </w:r>
    </w:p>
    <w:p>
      <w:pPr>
        <w:spacing w:line="600" w:lineRule="exact"/>
        <w:ind w:firstLine="640"/>
        <w:rPr>
          <w:rFonts w:hint="eastAsia" w:ascii="仿宋" w:hAnsi="仿宋" w:eastAsia="仿宋" w:cs="仿宋"/>
          <w:b w:val="0"/>
          <w:bCs w:val="0"/>
          <w:color w:val="auto"/>
          <w:sz w:val="32"/>
          <w:szCs w:val="32"/>
          <w:highlight w:val="none"/>
        </w:rPr>
      </w:pPr>
    </w:p>
    <w:p>
      <w:pPr>
        <w:spacing w:line="600" w:lineRule="exact"/>
        <w:ind w:firstLine="640"/>
        <w:outlineLvl w:val="2"/>
        <w:rPr>
          <w:rFonts w:ascii="仿宋" w:hAnsi="仿宋" w:eastAsia="仿宋"/>
          <w:b/>
          <w:color w:val="auto"/>
          <w:sz w:val="32"/>
          <w:szCs w:val="32"/>
          <w:highlight w:val="none"/>
        </w:rPr>
      </w:pPr>
      <w:bookmarkStart w:id="39" w:name="_Toc15377217"/>
      <w:r>
        <w:rPr>
          <w:rFonts w:hint="eastAsia" w:ascii="仿宋" w:hAnsi="仿宋" w:eastAsia="仿宋"/>
          <w:b/>
          <w:color w:val="auto"/>
          <w:sz w:val="32"/>
          <w:szCs w:val="32"/>
          <w:highlight w:val="none"/>
        </w:rPr>
        <w:t>（二）“三公”经费财政拨款支出决算具体情况说明</w:t>
      </w:r>
      <w:bookmarkEnd w:id="39"/>
    </w:p>
    <w:p>
      <w:pPr>
        <w:spacing w:line="600" w:lineRule="exact"/>
        <w:ind w:firstLine="640"/>
        <w:outlineLvl w:val="1"/>
        <w:rPr>
          <w:rFonts w:hint="eastAsia" w:ascii="黑体" w:eastAsia="黑体"/>
          <w:color w:val="auto"/>
          <w:sz w:val="32"/>
          <w:szCs w:val="32"/>
          <w:highlight w:val="none"/>
        </w:rPr>
      </w:pPr>
      <w:bookmarkStart w:id="40" w:name="_Toc15396610"/>
      <w:bookmarkStart w:id="41" w:name="_Toc15377218"/>
      <w:r>
        <w:rPr>
          <w:rFonts w:hint="eastAsia" w:ascii="仿宋" w:hAnsi="仿宋" w:eastAsia="仿宋" w:cs="仿宋"/>
          <w:b w:val="0"/>
          <w:bCs w:val="0"/>
          <w:color w:val="auto"/>
          <w:sz w:val="32"/>
          <w:szCs w:val="32"/>
          <w:lang w:eastAsia="zh-CN"/>
        </w:rPr>
        <w:t>本单位2020年三公经费为 0，2021年三公经费为预算为 0，决算为0，与上年度一致，与上年度相比无增减变化。</w:t>
      </w:r>
    </w:p>
    <w:p>
      <w:pPr>
        <w:spacing w:line="600" w:lineRule="exact"/>
        <w:ind w:firstLine="640"/>
        <w:outlineLvl w:val="1"/>
        <w:rPr>
          <w:rFonts w:hint="eastAsia" w:ascii="黑体" w:eastAsia="黑体"/>
          <w:color w:val="auto"/>
          <w:sz w:val="32"/>
          <w:szCs w:val="32"/>
          <w:highlight w:val="none"/>
        </w:rPr>
      </w:pPr>
    </w:p>
    <w:p>
      <w:pPr>
        <w:spacing w:line="600" w:lineRule="exact"/>
        <w:ind w:firstLine="640"/>
        <w:outlineLvl w:val="1"/>
        <w:rPr>
          <w:rStyle w:val="30"/>
          <w:rFonts w:ascii="黑体" w:hAnsi="黑体" w:eastAsia="黑体"/>
          <w:color w:val="auto"/>
          <w:highlight w:val="none"/>
        </w:rPr>
      </w:pPr>
      <w:r>
        <w:rPr>
          <w:rFonts w:hint="eastAsia" w:ascii="黑体" w:eastAsia="黑体"/>
          <w:color w:val="auto"/>
          <w:sz w:val="32"/>
          <w:szCs w:val="32"/>
          <w:highlight w:val="none"/>
        </w:rPr>
        <w:t>八、</w:t>
      </w:r>
      <w:r>
        <w:rPr>
          <w:rStyle w:val="30"/>
          <w:rFonts w:hint="eastAsia" w:ascii="黑体" w:hAnsi="黑体" w:eastAsia="黑体"/>
          <w:b w:val="0"/>
          <w:color w:val="auto"/>
          <w:highlight w:val="none"/>
        </w:rPr>
        <w:t>政府性基金预算支出决算情况说明</w:t>
      </w:r>
      <w:bookmarkEnd w:id="40"/>
      <w:bookmarkEnd w:id="41"/>
    </w:p>
    <w:p>
      <w:pPr>
        <w:spacing w:line="600" w:lineRule="exact"/>
        <w:ind w:firstLine="640"/>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20</w:t>
      </w:r>
      <w:r>
        <w:rPr>
          <w:rFonts w:hint="eastAsia" w:ascii="仿宋" w:hAnsi="仿宋" w:eastAsia="仿宋" w:cs="仿宋"/>
          <w:b w:val="0"/>
          <w:bCs w:val="0"/>
          <w:color w:val="000000"/>
          <w:sz w:val="32"/>
          <w:szCs w:val="32"/>
          <w:lang w:val="en-US" w:eastAsia="zh-CN"/>
        </w:rPr>
        <w:t>21</w:t>
      </w:r>
      <w:r>
        <w:rPr>
          <w:rFonts w:hint="eastAsia" w:ascii="仿宋" w:hAnsi="仿宋" w:eastAsia="仿宋" w:cs="仿宋"/>
          <w:b w:val="0"/>
          <w:bCs w:val="0"/>
          <w:color w:val="000000"/>
          <w:sz w:val="32"/>
          <w:szCs w:val="32"/>
        </w:rPr>
        <w:t>年</w:t>
      </w:r>
      <w:r>
        <w:rPr>
          <w:rFonts w:hint="eastAsia" w:ascii="仿宋" w:hAnsi="仿宋" w:eastAsia="仿宋" w:cs="仿宋"/>
          <w:b w:val="0"/>
          <w:bCs w:val="0"/>
          <w:color w:val="000000"/>
          <w:sz w:val="32"/>
          <w:szCs w:val="32"/>
          <w:lang w:val="en-US" w:eastAsia="zh-CN"/>
        </w:rPr>
        <w:t>无</w:t>
      </w:r>
      <w:r>
        <w:rPr>
          <w:rFonts w:hint="eastAsia" w:ascii="仿宋" w:hAnsi="仿宋" w:eastAsia="仿宋" w:cs="仿宋"/>
          <w:b w:val="0"/>
          <w:bCs w:val="0"/>
          <w:color w:val="000000"/>
          <w:sz w:val="32"/>
          <w:szCs w:val="32"/>
        </w:rPr>
        <w:t>政府性基金预算</w:t>
      </w:r>
      <w:r>
        <w:rPr>
          <w:rFonts w:hint="eastAsia" w:ascii="仿宋" w:hAnsi="仿宋" w:eastAsia="仿宋" w:cs="仿宋"/>
          <w:b w:val="0"/>
          <w:bCs w:val="0"/>
          <w:color w:val="000000"/>
          <w:sz w:val="32"/>
          <w:szCs w:val="32"/>
          <w:lang w:eastAsia="zh-CN"/>
        </w:rPr>
        <w:t>财政</w:t>
      </w:r>
      <w:r>
        <w:rPr>
          <w:rFonts w:hint="eastAsia" w:ascii="仿宋" w:hAnsi="仿宋" w:eastAsia="仿宋" w:cs="仿宋"/>
          <w:b w:val="0"/>
          <w:bCs w:val="0"/>
          <w:color w:val="000000"/>
          <w:sz w:val="32"/>
          <w:szCs w:val="32"/>
        </w:rPr>
        <w:t>拨款支出。</w:t>
      </w:r>
    </w:p>
    <w:p>
      <w:pPr>
        <w:spacing w:line="600" w:lineRule="exact"/>
        <w:ind w:firstLine="640"/>
        <w:rPr>
          <w:rFonts w:ascii="仿宋_GB2312" w:eastAsia="仿宋_GB2312"/>
          <w:color w:val="auto"/>
          <w:sz w:val="32"/>
          <w:szCs w:val="32"/>
          <w:highlight w:val="none"/>
        </w:rPr>
      </w:pPr>
    </w:p>
    <w:p>
      <w:pPr>
        <w:numPr>
          <w:ilvl w:val="0"/>
          <w:numId w:val="3"/>
        </w:numPr>
        <w:spacing w:line="600" w:lineRule="exact"/>
        <w:ind w:firstLine="640"/>
        <w:outlineLvl w:val="1"/>
        <w:rPr>
          <w:rStyle w:val="30"/>
          <w:rFonts w:ascii="黑体" w:hAnsi="黑体" w:eastAsia="黑体"/>
          <w:b w:val="0"/>
          <w:color w:val="auto"/>
          <w:highlight w:val="none"/>
        </w:rPr>
      </w:pPr>
      <w:bookmarkStart w:id="42" w:name="_Toc15396611"/>
      <w:bookmarkStart w:id="43" w:name="_Toc15377219"/>
      <w:r>
        <w:rPr>
          <w:rStyle w:val="30"/>
          <w:rFonts w:hint="eastAsia" w:ascii="黑体" w:hAnsi="黑体" w:eastAsia="黑体"/>
          <w:b w:val="0"/>
          <w:color w:val="auto"/>
          <w:highlight w:val="none"/>
        </w:rPr>
        <w:t>国有资本经营预算支出决算情况说明</w:t>
      </w:r>
      <w:bookmarkEnd w:id="42"/>
      <w:bookmarkEnd w:id="43"/>
    </w:p>
    <w:p>
      <w:pPr>
        <w:spacing w:line="600" w:lineRule="exact"/>
        <w:ind w:firstLine="640"/>
        <w:rPr>
          <w:rFonts w:hint="eastAsia" w:ascii="仿宋" w:hAnsi="仿宋" w:eastAsia="仿宋" w:cs="仿宋"/>
          <w:b w:val="0"/>
          <w:bCs w:val="0"/>
          <w:sz w:val="32"/>
          <w:szCs w:val="32"/>
        </w:rPr>
      </w:pPr>
      <w:r>
        <w:rPr>
          <w:rFonts w:hint="eastAsia" w:ascii="仿宋" w:hAnsi="仿宋" w:eastAsia="仿宋" w:cs="仿宋"/>
          <w:b w:val="0"/>
          <w:bCs w:val="0"/>
          <w:color w:val="000000"/>
          <w:sz w:val="32"/>
          <w:szCs w:val="32"/>
        </w:rPr>
        <w:t>20</w:t>
      </w:r>
      <w:r>
        <w:rPr>
          <w:rFonts w:hint="eastAsia" w:ascii="仿宋" w:hAnsi="仿宋" w:eastAsia="仿宋" w:cs="仿宋"/>
          <w:b w:val="0"/>
          <w:bCs w:val="0"/>
          <w:color w:val="000000"/>
          <w:sz w:val="32"/>
          <w:szCs w:val="32"/>
          <w:lang w:val="en-US" w:eastAsia="zh-CN"/>
        </w:rPr>
        <w:t>21</w:t>
      </w:r>
      <w:r>
        <w:rPr>
          <w:rFonts w:hint="eastAsia" w:ascii="仿宋" w:hAnsi="仿宋" w:eastAsia="仿宋" w:cs="仿宋"/>
          <w:b w:val="0"/>
          <w:bCs w:val="0"/>
          <w:color w:val="000000"/>
          <w:sz w:val="32"/>
          <w:szCs w:val="32"/>
        </w:rPr>
        <w:t>年</w:t>
      </w:r>
      <w:r>
        <w:rPr>
          <w:rFonts w:hint="eastAsia" w:ascii="仿宋" w:hAnsi="仿宋" w:eastAsia="仿宋" w:cs="仿宋"/>
          <w:b w:val="0"/>
          <w:bCs w:val="0"/>
          <w:color w:val="000000"/>
          <w:sz w:val="32"/>
          <w:szCs w:val="32"/>
          <w:lang w:val="en-US" w:eastAsia="zh-CN"/>
        </w:rPr>
        <w:t>无</w:t>
      </w:r>
      <w:r>
        <w:rPr>
          <w:rFonts w:hint="eastAsia" w:ascii="仿宋" w:hAnsi="仿宋" w:eastAsia="仿宋" w:cs="仿宋"/>
          <w:b w:val="0"/>
          <w:bCs w:val="0"/>
          <w:color w:val="000000"/>
          <w:sz w:val="32"/>
          <w:szCs w:val="32"/>
        </w:rPr>
        <w:t>国有资本经营预算</w:t>
      </w:r>
      <w:r>
        <w:rPr>
          <w:rFonts w:hint="eastAsia" w:ascii="仿宋" w:hAnsi="仿宋" w:eastAsia="仿宋" w:cs="仿宋"/>
          <w:b w:val="0"/>
          <w:bCs w:val="0"/>
          <w:color w:val="000000"/>
          <w:sz w:val="32"/>
          <w:szCs w:val="32"/>
          <w:lang w:eastAsia="zh-CN"/>
        </w:rPr>
        <w:t>财政</w:t>
      </w:r>
      <w:r>
        <w:rPr>
          <w:rFonts w:hint="eastAsia" w:ascii="仿宋" w:hAnsi="仿宋" w:eastAsia="仿宋" w:cs="仿宋"/>
          <w:b w:val="0"/>
          <w:bCs w:val="0"/>
          <w:color w:val="000000"/>
          <w:sz w:val="32"/>
          <w:szCs w:val="32"/>
        </w:rPr>
        <w:t>拨款支出。</w:t>
      </w:r>
    </w:p>
    <w:p>
      <w:pPr>
        <w:spacing w:line="580" w:lineRule="exact"/>
        <w:jc w:val="center"/>
        <w:rPr>
          <w:rFonts w:ascii="方正小标宋简体" w:hAnsi="方正小标宋简体" w:eastAsia="方正小标宋简体" w:cs="方正小标宋简体"/>
          <w:color w:val="auto"/>
          <w:sz w:val="44"/>
          <w:szCs w:val="44"/>
          <w:highlight w:val="none"/>
        </w:rPr>
      </w:pPr>
    </w:p>
    <w:p>
      <w:pPr>
        <w:numPr>
          <w:ilvl w:val="0"/>
          <w:numId w:val="3"/>
        </w:numPr>
        <w:spacing w:line="600" w:lineRule="exact"/>
        <w:ind w:firstLine="640"/>
        <w:outlineLvl w:val="1"/>
        <w:rPr>
          <w:rStyle w:val="30"/>
          <w:rFonts w:hint="eastAsia" w:ascii="黑体" w:hAnsi="黑体" w:eastAsia="黑体"/>
          <w:b w:val="0"/>
          <w:color w:val="auto"/>
          <w:highlight w:val="none"/>
        </w:rPr>
      </w:pPr>
      <w:bookmarkStart w:id="44" w:name="_Toc15396612"/>
      <w:bookmarkStart w:id="45" w:name="_Toc15377221"/>
      <w:r>
        <w:rPr>
          <w:rStyle w:val="30"/>
          <w:rFonts w:hint="eastAsia" w:ascii="黑体" w:hAnsi="黑体" w:eastAsia="黑体"/>
          <w:b w:val="0"/>
          <w:color w:val="auto"/>
          <w:highlight w:val="none"/>
        </w:rPr>
        <w:t>其他重要事项的情况说明</w:t>
      </w:r>
      <w:bookmarkEnd w:id="44"/>
      <w:bookmarkEnd w:id="45"/>
    </w:p>
    <w:p>
      <w:pPr>
        <w:spacing w:line="600" w:lineRule="exact"/>
        <w:ind w:firstLine="643" w:firstLineChars="200"/>
        <w:outlineLvl w:val="2"/>
        <w:rPr>
          <w:rFonts w:ascii="仿宋" w:hAnsi="仿宋" w:eastAsia="仿宋"/>
          <w:color w:val="auto"/>
          <w:sz w:val="32"/>
          <w:szCs w:val="32"/>
          <w:highlight w:val="none"/>
        </w:rPr>
      </w:pPr>
      <w:bookmarkStart w:id="46" w:name="_Toc15377222"/>
      <w:r>
        <w:rPr>
          <w:rFonts w:hint="eastAsia" w:ascii="仿宋" w:hAnsi="仿宋" w:eastAsia="仿宋"/>
          <w:b/>
          <w:color w:val="auto"/>
          <w:sz w:val="32"/>
          <w:szCs w:val="32"/>
          <w:highlight w:val="none"/>
        </w:rPr>
        <w:t>（一）机关运行经费支出情况</w:t>
      </w:r>
      <w:bookmarkEnd w:id="46"/>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二零七队</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年决算数持平。</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7" w:name="_Toc15377223"/>
      <w:r>
        <w:rPr>
          <w:rFonts w:hint="eastAsia" w:ascii="仿宋" w:hAnsi="仿宋" w:eastAsia="仿宋"/>
          <w:b/>
          <w:color w:val="auto"/>
          <w:sz w:val="32"/>
          <w:szCs w:val="32"/>
          <w:highlight w:val="none"/>
        </w:rPr>
        <w:t>（二）政府采购支出情况</w:t>
      </w:r>
      <w:bookmarkEnd w:id="47"/>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二零七队</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0.00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0.00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8" w:name="_Toc15377224"/>
      <w:r>
        <w:rPr>
          <w:rFonts w:hint="eastAsia" w:ascii="仿宋" w:hAnsi="仿宋" w:eastAsia="仿宋"/>
          <w:b/>
          <w:color w:val="auto"/>
          <w:sz w:val="32"/>
          <w:szCs w:val="32"/>
          <w:highlight w:val="none"/>
        </w:rPr>
        <w:t>（三）国有资产占有使用情况</w:t>
      </w:r>
      <w:bookmarkEnd w:id="48"/>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二零七队</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其他用车主要是用于</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野外施工项目。</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台（套），单价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pStyle w:val="2"/>
        <w:ind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000000"/>
          <w:sz w:val="32"/>
          <w:szCs w:val="32"/>
          <w:lang w:val="en-US" w:eastAsia="zh-CN"/>
        </w:rPr>
        <w:t>二零七队2021年</w:t>
      </w:r>
      <w:r>
        <w:rPr>
          <w:rFonts w:hint="eastAsia" w:ascii="仿宋" w:hAnsi="仿宋" w:eastAsia="仿宋" w:cs="仿宋"/>
          <w:b w:val="0"/>
          <w:bCs w:val="0"/>
          <w:color w:val="000000"/>
          <w:sz w:val="32"/>
          <w:szCs w:val="32"/>
        </w:rPr>
        <w:t>无专项预算项目，因此未组织开展项目支出绩效评价</w:t>
      </w:r>
      <w:r>
        <w:rPr>
          <w:rFonts w:hint="eastAsia" w:ascii="仿宋" w:hAnsi="仿宋" w:eastAsia="仿宋" w:cs="仿宋"/>
          <w:b w:val="0"/>
          <w:bCs w:val="0"/>
          <w:color w:val="000000"/>
          <w:sz w:val="32"/>
          <w:szCs w:val="32"/>
          <w:lang w:eastAsia="zh-CN"/>
        </w:rPr>
        <w:t>。</w:t>
      </w: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4"/>
        </w:numPr>
        <w:spacing w:line="600" w:lineRule="exact"/>
        <w:ind w:firstLine="660" w:firstLineChars="150"/>
        <w:jc w:val="center"/>
        <w:outlineLvl w:val="0"/>
        <w:rPr>
          <w:rStyle w:val="29"/>
          <w:rFonts w:ascii="黑体" w:hAnsi="黑体" w:eastAsia="黑体"/>
          <w:b w:val="0"/>
          <w:color w:val="auto"/>
          <w:highlight w:val="none"/>
        </w:rPr>
      </w:pPr>
      <w:bookmarkStart w:id="49" w:name="_Toc15396613"/>
      <w:bookmarkStart w:id="50" w:name="_Toc15377225"/>
      <w:r>
        <w:rPr>
          <w:rFonts w:hint="eastAsia" w:ascii="黑体" w:hAnsi="黑体" w:eastAsia="黑体"/>
          <w:color w:val="auto"/>
          <w:sz w:val="44"/>
          <w:szCs w:val="44"/>
          <w:highlight w:val="none"/>
        </w:rPr>
        <w:t>名</w:t>
      </w:r>
      <w:r>
        <w:rPr>
          <w:rStyle w:val="29"/>
          <w:rFonts w:hint="eastAsia" w:ascii="黑体" w:hAnsi="黑体" w:eastAsia="黑体"/>
          <w:b w:val="0"/>
          <w:color w:val="auto"/>
          <w:highlight w:val="none"/>
        </w:rPr>
        <w:t>词解释</w:t>
      </w:r>
      <w:bookmarkEnd w:id="49"/>
      <w:bookmarkEnd w:id="50"/>
    </w:p>
    <w:p>
      <w:pPr>
        <w:spacing w:line="600" w:lineRule="exact"/>
        <w:jc w:val="left"/>
        <w:rPr>
          <w:rFonts w:ascii="宋体"/>
          <w:b/>
          <w:color w:val="auto"/>
          <w:sz w:val="44"/>
          <w:szCs w:val="44"/>
          <w:highlight w:val="none"/>
        </w:rPr>
      </w:pPr>
    </w:p>
    <w:p>
      <w:pPr>
        <w:pStyle w:val="27"/>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7"/>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w:t>
      </w:r>
    </w:p>
    <w:p>
      <w:pPr>
        <w:pStyle w:val="27"/>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w:t>
      </w:r>
    </w:p>
    <w:p>
      <w:pPr>
        <w:pStyle w:val="27"/>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其他收入：指单位取得的除上述收入以外的各项收入。主要是</w:t>
      </w:r>
      <w:r>
        <w:rPr>
          <w:rFonts w:hint="eastAsia" w:ascii="仿宋_GB2312" w:eastAsia="仿宋_GB2312"/>
          <w:color w:val="auto"/>
          <w:sz w:val="32"/>
          <w:szCs w:val="32"/>
          <w:highlight w:val="none"/>
          <w:lang w:val="en-US" w:eastAsia="zh-CN"/>
        </w:rPr>
        <w:t>利息收入</w:t>
      </w:r>
      <w:r>
        <w:rPr>
          <w:rFonts w:hint="eastAsia" w:ascii="仿宋_GB2312" w:eastAsia="仿宋_GB2312"/>
          <w:color w:val="auto"/>
          <w:sz w:val="32"/>
          <w:szCs w:val="32"/>
          <w:highlight w:val="none"/>
        </w:rPr>
        <w:t>。</w:t>
      </w:r>
      <w:r>
        <w:rPr>
          <w:rFonts w:ascii="仿宋_GB2312" w:eastAsia="仿宋_GB2312"/>
          <w:color w:val="auto"/>
          <w:sz w:val="32"/>
          <w:szCs w:val="32"/>
          <w:highlight w:val="none"/>
        </w:rPr>
        <w:t xml:space="preserve"> </w:t>
      </w:r>
    </w:p>
    <w:p>
      <w:pPr>
        <w:pStyle w:val="27"/>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pPr>
        <w:pStyle w:val="27"/>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7"/>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27"/>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年末结转和结余：指单位按有关规定结转到下年或以后年度继续使用的资金。</w:t>
      </w:r>
    </w:p>
    <w:p>
      <w:pPr>
        <w:ind w:firstLine="640" w:firstLineChars="200"/>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val="en-US" w:eastAsia="zh-CN"/>
        </w:rPr>
        <w:t>9.</w:t>
      </w:r>
      <w:r>
        <w:rPr>
          <w:rFonts w:hint="eastAsia" w:ascii="仿宋" w:hAnsi="仿宋" w:eastAsia="仿宋" w:cs="仿宋"/>
          <w:b w:val="0"/>
          <w:bCs w:val="0"/>
          <w:color w:val="000000"/>
          <w:kern w:val="0"/>
          <w:sz w:val="32"/>
          <w:szCs w:val="32"/>
          <w:lang w:val="en-US" w:eastAsia="zh-CN" w:bidi="ar-SA"/>
        </w:rPr>
        <w:t>社会保障和就业（类）行政事业单位养老（款）事业单位离退休（项）：指单位退休人员一次性补助资金。</w:t>
      </w:r>
    </w:p>
    <w:p>
      <w:pPr>
        <w:pStyle w:val="2"/>
        <w:rPr>
          <w:rFonts w:hint="eastAsia" w:ascii="仿宋" w:hAnsi="仿宋" w:eastAsia="仿宋" w:cs="仿宋"/>
          <w:sz w:val="32"/>
          <w:szCs w:val="32"/>
          <w:lang w:val="en-US" w:eastAsia="zh-CN"/>
        </w:rPr>
      </w:pPr>
      <w:r>
        <w:rPr>
          <w:rFonts w:hint="eastAsia" w:ascii="仿宋" w:hAnsi="仿宋" w:eastAsia="仿宋" w:cs="仿宋"/>
          <w:color w:val="000000"/>
          <w:sz w:val="32"/>
          <w:szCs w:val="32"/>
          <w:lang w:val="en-US" w:eastAsia="zh-CN"/>
        </w:rPr>
        <w:t xml:space="preserve">    10.</w:t>
      </w:r>
      <w:r>
        <w:rPr>
          <w:rFonts w:hint="eastAsia" w:ascii="仿宋" w:hAnsi="仿宋" w:eastAsia="仿宋" w:cs="仿宋"/>
          <w:color w:val="000000"/>
          <w:kern w:val="0"/>
          <w:sz w:val="32"/>
          <w:szCs w:val="32"/>
          <w:lang w:val="en-US" w:eastAsia="zh-CN" w:bidi="ar-SA"/>
        </w:rPr>
        <w:t>社会保障和就业（类）行政事业单位养老（款）机关事业单位基础养老保险缴费支出（项）：指部门实施养老保险制度由单位缴纳的养老保险费的支出。</w:t>
      </w:r>
    </w:p>
    <w:p>
      <w:pPr>
        <w:pStyle w:val="2"/>
        <w:ind w:firstLine="640" w:firstLineChars="200"/>
        <w:rPr>
          <w:rFonts w:hint="eastAsia" w:ascii="仿宋" w:hAnsi="仿宋" w:eastAsia="仿宋" w:cs="仿宋"/>
          <w:sz w:val="32"/>
          <w:szCs w:val="32"/>
          <w:lang w:val="en-US" w:eastAsia="zh-CN"/>
        </w:rPr>
      </w:pPr>
      <w:r>
        <w:rPr>
          <w:rFonts w:hint="eastAsia" w:ascii="仿宋" w:hAnsi="仿宋" w:eastAsia="仿宋" w:cs="仿宋"/>
          <w:color w:val="000000"/>
          <w:sz w:val="32"/>
          <w:szCs w:val="32"/>
          <w:lang w:val="en-US" w:eastAsia="zh-CN"/>
        </w:rPr>
        <w:t>11.</w:t>
      </w:r>
      <w:r>
        <w:rPr>
          <w:rFonts w:hint="eastAsia" w:ascii="仿宋" w:hAnsi="仿宋" w:eastAsia="仿宋" w:cs="仿宋"/>
          <w:color w:val="000000"/>
          <w:kern w:val="0"/>
          <w:sz w:val="32"/>
          <w:szCs w:val="32"/>
          <w:lang w:val="en-US" w:eastAsia="zh-CN" w:bidi="ar-SA"/>
        </w:rPr>
        <w:t>社会保障和就业（类）行政事业单位养老（款）机关事业单位职业年金缴费支出（项）：指部门实施养老保险制度由单位缴纳的职业年金的支出。</w:t>
      </w:r>
    </w:p>
    <w:p>
      <w:pPr>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12.社会保障和就业（类）其他社会保障和就业支出（款）其他社会保障和就业支出（项）</w:t>
      </w:r>
      <w:r>
        <w:rPr>
          <w:rFonts w:hint="eastAsia" w:ascii="仿宋" w:hAnsi="仿宋" w:eastAsia="仿宋" w:cs="仿宋"/>
          <w:color w:val="000000"/>
          <w:sz w:val="32"/>
          <w:szCs w:val="32"/>
        </w:rPr>
        <w:t>：指</w:t>
      </w:r>
      <w:r>
        <w:rPr>
          <w:rFonts w:hint="eastAsia" w:ascii="仿宋" w:hAnsi="仿宋" w:eastAsia="仿宋" w:cs="仿宋"/>
          <w:color w:val="000000"/>
          <w:sz w:val="32"/>
          <w:szCs w:val="32"/>
          <w:lang w:val="en-US" w:eastAsia="zh-CN"/>
        </w:rPr>
        <w:t>除上述“机关事业单位基础养老保险缴费支出”、“机关事业单位职业年金缴费支出”等保险以外，行政事业单位缴纳的其他保险支出。</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卫生健康（类）行政事业单位医疗（款）事业单位医疗（项）:</w:t>
      </w:r>
      <w:r>
        <w:rPr>
          <w:rFonts w:hint="eastAsia" w:ascii="仿宋" w:hAnsi="仿宋" w:eastAsia="仿宋" w:cs="仿宋"/>
          <w:color w:val="000000"/>
          <w:sz w:val="32"/>
          <w:szCs w:val="32"/>
          <w:lang w:val="en-US" w:eastAsia="zh-CN"/>
        </w:rPr>
        <w:t>指事业单位用于缴纳单位基本医疗保险支出</w:t>
      </w:r>
      <w:r>
        <w:rPr>
          <w:rFonts w:hint="eastAsia" w:ascii="仿宋" w:hAnsi="仿宋" w:eastAsia="仿宋" w:cs="仿宋"/>
          <w:color w:val="000000"/>
          <w:sz w:val="32"/>
          <w:szCs w:val="32"/>
        </w:rPr>
        <w:t>。</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.资源勘探工业信息等（类）资源勘探开发（款）其他资源勘探业支出（项）：指</w:t>
      </w:r>
      <w:r>
        <w:rPr>
          <w:rFonts w:hint="eastAsia" w:ascii="仿宋" w:hAnsi="仿宋" w:eastAsia="仿宋" w:cs="仿宋"/>
          <w:color w:val="000000"/>
          <w:sz w:val="32"/>
          <w:szCs w:val="32"/>
          <w:lang w:val="en-US" w:eastAsia="zh-CN"/>
        </w:rPr>
        <w:t>事业单位用于保障机构正常运行、开展日常工作的基本支出</w:t>
      </w:r>
      <w:r>
        <w:rPr>
          <w:rFonts w:hint="eastAsia" w:ascii="仿宋" w:hAnsi="仿宋" w:eastAsia="仿宋" w:cs="仿宋"/>
          <w:color w:val="000000"/>
          <w:sz w:val="32"/>
          <w:szCs w:val="32"/>
        </w:rPr>
        <w:t>。</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15.</w:t>
      </w:r>
      <w:r>
        <w:rPr>
          <w:rFonts w:hint="eastAsia" w:ascii="仿宋" w:hAnsi="仿宋" w:eastAsia="仿宋" w:cs="仿宋"/>
          <w:color w:val="000000"/>
          <w:sz w:val="32"/>
          <w:szCs w:val="32"/>
        </w:rPr>
        <w:t>住房保障（类）</w:t>
      </w:r>
      <w:r>
        <w:rPr>
          <w:rFonts w:hint="eastAsia" w:ascii="仿宋" w:hAnsi="仿宋" w:eastAsia="仿宋" w:cs="仿宋"/>
          <w:color w:val="000000"/>
          <w:sz w:val="32"/>
          <w:szCs w:val="32"/>
          <w:lang w:eastAsia="zh-CN"/>
        </w:rPr>
        <w:t>住房改革支出</w:t>
      </w:r>
      <w:r>
        <w:rPr>
          <w:rFonts w:hint="eastAsia" w:ascii="仿宋" w:hAnsi="仿宋" w:eastAsia="仿宋" w:cs="仿宋"/>
          <w:color w:val="000000"/>
          <w:sz w:val="32"/>
          <w:szCs w:val="32"/>
        </w:rPr>
        <w:t>（款）</w:t>
      </w:r>
      <w:r>
        <w:rPr>
          <w:rFonts w:hint="eastAsia" w:ascii="仿宋" w:hAnsi="仿宋" w:eastAsia="仿宋" w:cs="仿宋"/>
          <w:color w:val="000000"/>
          <w:sz w:val="32"/>
          <w:szCs w:val="32"/>
          <w:lang w:eastAsia="zh-CN"/>
        </w:rPr>
        <w:t>住房公积金</w:t>
      </w:r>
      <w:r>
        <w:rPr>
          <w:rFonts w:hint="eastAsia" w:ascii="仿宋" w:hAnsi="仿宋" w:eastAsia="仿宋" w:cs="仿宋"/>
          <w:color w:val="000000"/>
          <w:sz w:val="32"/>
          <w:szCs w:val="32"/>
        </w:rPr>
        <w:t>（项）：指</w:t>
      </w:r>
      <w:r>
        <w:rPr>
          <w:rFonts w:hint="eastAsia" w:ascii="仿宋" w:hAnsi="仿宋" w:eastAsia="仿宋" w:cs="仿宋"/>
          <w:color w:val="000000"/>
          <w:sz w:val="32"/>
          <w:szCs w:val="32"/>
          <w:lang w:val="en-US" w:eastAsia="zh-CN"/>
        </w:rPr>
        <w:t>行政事业单位按照《住房公积金管理条例》的规定为在职职工缴纳的住房公积金</w:t>
      </w:r>
      <w:r>
        <w:rPr>
          <w:rFonts w:hint="eastAsia" w:ascii="仿宋" w:hAnsi="仿宋" w:eastAsia="仿宋" w:cs="仿宋"/>
          <w:color w:val="000000"/>
          <w:sz w:val="32"/>
          <w:szCs w:val="32"/>
        </w:rPr>
        <w:t>。</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16</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17</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18</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经营支出：指事业单位在专业业务活动及其辅助活动之外开展非独立核算经营活动发生的支出。</w:t>
      </w:r>
    </w:p>
    <w:p>
      <w:pPr>
        <w:pStyle w:val="27"/>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19</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43" w:firstLineChars="200"/>
        <w:rPr>
          <w:rFonts w:ascii="仿宋" w:hAnsi="仿宋" w:eastAsia="仿宋"/>
          <w:b/>
          <w:color w:val="0000FF"/>
          <w:sz w:val="32"/>
          <w:szCs w:val="32"/>
          <w:highlight w:val="none"/>
        </w:rPr>
      </w:pPr>
    </w:p>
    <w:p>
      <w:pPr>
        <w:widowControl/>
        <w:adjustRightInd w:val="0"/>
        <w:snapToGrid w:val="0"/>
        <w:spacing w:line="580" w:lineRule="exact"/>
        <w:contextualSpacing/>
        <w:jc w:val="left"/>
      </w:pPr>
      <w:bookmarkStart w:id="51" w:name="_Toc15377226"/>
      <w:r>
        <w:rPr>
          <w:rFonts w:ascii="宋体"/>
          <w:b/>
          <w:color w:val="auto"/>
          <w:sz w:val="44"/>
          <w:szCs w:val="44"/>
          <w:highlight w:val="none"/>
        </w:rPr>
        <w:br w:type="page"/>
      </w:r>
      <w:bookmarkStart w:id="52" w:name="_Toc15396618"/>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9"/>
          <w:rFonts w:hint="eastAsia" w:ascii="黑体" w:hAnsi="黑体" w:eastAsia="黑体"/>
          <w:b w:val="0"/>
          <w:color w:val="auto"/>
          <w:highlight w:val="none"/>
          <w:lang w:val="en-US" w:eastAsia="zh-CN"/>
        </w:rPr>
        <w:t>四</w:t>
      </w:r>
      <w:r>
        <w:rPr>
          <w:rStyle w:val="29"/>
          <w:rFonts w:hint="eastAsia" w:ascii="黑体" w:hAnsi="黑体" w:eastAsia="黑体"/>
          <w:b w:val="0"/>
          <w:color w:val="auto"/>
          <w:highlight w:val="none"/>
        </w:rPr>
        <w:t>部分 附表</w:t>
      </w:r>
      <w:bookmarkEnd w:id="51"/>
      <w:bookmarkEnd w:id="52"/>
      <w:bookmarkStart w:id="53" w:name="_Toc15396619"/>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30"/>
          <w:rFonts w:hint="eastAsia" w:ascii="仿宋" w:hAnsi="仿宋" w:eastAsia="仿宋"/>
          <w:b w:val="0"/>
          <w:bCs w:val="0"/>
          <w:color w:val="auto"/>
          <w:highlight w:val="none"/>
        </w:rPr>
        <w:t>入支出决算总表</w:t>
      </w:r>
      <w:bookmarkEnd w:id="53"/>
    </w:p>
    <w:p>
      <w:pPr>
        <w:pStyle w:val="4"/>
        <w:rPr>
          <w:rFonts w:ascii="仿宋" w:hAnsi="仿宋" w:eastAsia="仿宋"/>
          <w:color w:val="auto"/>
          <w:highlight w:val="none"/>
        </w:rPr>
      </w:pPr>
      <w:bookmarkStart w:id="54" w:name="_Toc15396620"/>
      <w:r>
        <w:rPr>
          <w:rFonts w:hint="eastAsia" w:ascii="仿宋" w:hAnsi="仿宋" w:eastAsia="仿宋"/>
          <w:b w:val="0"/>
          <w:color w:val="auto"/>
          <w:highlight w:val="none"/>
        </w:rPr>
        <w:t>二、收</w:t>
      </w:r>
      <w:r>
        <w:rPr>
          <w:rStyle w:val="30"/>
          <w:rFonts w:hint="eastAsia" w:ascii="仿宋" w:hAnsi="仿宋" w:eastAsia="仿宋"/>
          <w:b w:val="0"/>
          <w:bCs w:val="0"/>
          <w:color w:val="auto"/>
          <w:highlight w:val="none"/>
        </w:rPr>
        <w:t>入决算表</w:t>
      </w:r>
      <w:bookmarkEnd w:id="54"/>
    </w:p>
    <w:p>
      <w:pPr>
        <w:pStyle w:val="4"/>
        <w:rPr>
          <w:rFonts w:ascii="仿宋" w:hAnsi="仿宋" w:eastAsia="仿宋"/>
          <w:color w:val="auto"/>
          <w:highlight w:val="none"/>
        </w:rPr>
      </w:pPr>
      <w:bookmarkStart w:id="55" w:name="_Toc15396621"/>
      <w:r>
        <w:rPr>
          <w:rStyle w:val="30"/>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30"/>
          <w:rFonts w:hint="eastAsia" w:ascii="仿宋" w:hAnsi="仿宋" w:eastAsia="仿宋"/>
          <w:b w:val="0"/>
          <w:bCs w:val="0"/>
          <w:color w:val="auto"/>
          <w:highlight w:val="none"/>
        </w:rPr>
        <w:t>出决算表</w:t>
      </w:r>
      <w:bookmarkEnd w:id="55"/>
    </w:p>
    <w:p>
      <w:pPr>
        <w:pStyle w:val="4"/>
        <w:rPr>
          <w:rFonts w:ascii="仿宋" w:hAnsi="仿宋" w:eastAsia="仿宋"/>
          <w:b w:val="0"/>
          <w:color w:val="auto"/>
          <w:highlight w:val="none"/>
        </w:rPr>
      </w:pPr>
      <w:bookmarkStart w:id="56" w:name="_Toc15396622"/>
      <w:r>
        <w:rPr>
          <w:rStyle w:val="30"/>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30"/>
          <w:rFonts w:hint="eastAsia" w:ascii="仿宋" w:hAnsi="仿宋" w:eastAsia="仿宋"/>
          <w:b w:val="0"/>
          <w:bCs w:val="0"/>
          <w:color w:val="auto"/>
          <w:highlight w:val="none"/>
        </w:rPr>
        <w:t>政拨款收入支出决算总表</w:t>
      </w:r>
      <w:bookmarkEnd w:id="56"/>
    </w:p>
    <w:p>
      <w:pPr>
        <w:pStyle w:val="4"/>
        <w:rPr>
          <w:rStyle w:val="30"/>
          <w:rFonts w:ascii="仿宋" w:hAnsi="仿宋" w:eastAsia="仿宋"/>
          <w:b w:val="0"/>
          <w:bCs w:val="0"/>
          <w:color w:val="auto"/>
          <w:highlight w:val="none"/>
        </w:rPr>
      </w:pPr>
      <w:bookmarkStart w:id="57" w:name="_Toc15396623"/>
      <w:r>
        <w:rPr>
          <w:rStyle w:val="30"/>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30"/>
          <w:rFonts w:hint="eastAsia" w:ascii="仿宋" w:hAnsi="仿宋" w:eastAsia="仿宋"/>
          <w:b w:val="0"/>
          <w:bCs w:val="0"/>
          <w:color w:val="auto"/>
          <w:highlight w:val="none"/>
        </w:rPr>
        <w:t>政拨款支出决算明细表</w:t>
      </w:r>
      <w:bookmarkEnd w:id="57"/>
      <w:bookmarkStart w:id="58" w:name="_Toc15396624"/>
    </w:p>
    <w:p>
      <w:pPr>
        <w:pStyle w:val="4"/>
        <w:rPr>
          <w:rFonts w:ascii="仿宋" w:hAnsi="仿宋" w:eastAsia="仿宋"/>
          <w:color w:val="auto"/>
          <w:highlight w:val="none"/>
        </w:rPr>
      </w:pPr>
      <w:r>
        <w:rPr>
          <w:rStyle w:val="30"/>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般公共预算财政拨款支出决算表</w:t>
      </w:r>
      <w:bookmarkEnd w:id="58"/>
    </w:p>
    <w:p>
      <w:pPr>
        <w:pStyle w:val="4"/>
        <w:rPr>
          <w:rFonts w:ascii="仿宋" w:hAnsi="仿宋" w:eastAsia="仿宋"/>
          <w:color w:val="auto"/>
          <w:highlight w:val="none"/>
        </w:rPr>
      </w:pPr>
      <w:bookmarkStart w:id="59" w:name="_Toc15396625"/>
      <w:r>
        <w:rPr>
          <w:rStyle w:val="30"/>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般公共预算财政拨款支出决算明细表</w:t>
      </w:r>
      <w:bookmarkEnd w:id="59"/>
    </w:p>
    <w:p>
      <w:pPr>
        <w:pStyle w:val="4"/>
        <w:rPr>
          <w:rFonts w:ascii="仿宋" w:hAnsi="仿宋" w:eastAsia="仿宋"/>
          <w:color w:val="auto"/>
          <w:highlight w:val="none"/>
        </w:rPr>
      </w:pPr>
      <w:bookmarkStart w:id="60" w:name="_Toc15396626"/>
      <w:r>
        <w:rPr>
          <w:rStyle w:val="30"/>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般公共预算财政拨款基本支出决算表</w:t>
      </w:r>
      <w:bookmarkEnd w:id="60"/>
    </w:p>
    <w:p>
      <w:pPr>
        <w:pStyle w:val="4"/>
        <w:rPr>
          <w:rFonts w:ascii="仿宋" w:hAnsi="仿宋" w:eastAsia="仿宋"/>
          <w:color w:val="auto"/>
          <w:highlight w:val="none"/>
        </w:rPr>
      </w:pPr>
      <w:bookmarkStart w:id="61" w:name="_Toc15396627"/>
      <w:r>
        <w:rPr>
          <w:rStyle w:val="30"/>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般公共预算财政拨款项目支出决算表</w:t>
      </w:r>
      <w:bookmarkEnd w:id="61"/>
    </w:p>
    <w:p>
      <w:pPr>
        <w:pStyle w:val="4"/>
        <w:rPr>
          <w:rFonts w:ascii="仿宋" w:hAnsi="仿宋" w:eastAsia="仿宋"/>
          <w:color w:val="auto"/>
          <w:highlight w:val="none"/>
        </w:rPr>
      </w:pPr>
      <w:bookmarkStart w:id="62" w:name="_Toc15396628"/>
      <w:r>
        <w:rPr>
          <w:rStyle w:val="30"/>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般公共预算财政拨款“三公”经费支出决算表</w:t>
      </w:r>
      <w:bookmarkEnd w:id="62"/>
    </w:p>
    <w:p>
      <w:pPr>
        <w:pStyle w:val="4"/>
        <w:rPr>
          <w:rFonts w:ascii="仿宋" w:hAnsi="仿宋" w:eastAsia="仿宋"/>
          <w:color w:val="auto"/>
          <w:highlight w:val="none"/>
        </w:rPr>
      </w:pPr>
      <w:bookmarkStart w:id="63" w:name="_Toc15396629"/>
      <w:r>
        <w:rPr>
          <w:rStyle w:val="30"/>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30"/>
          <w:rFonts w:hint="eastAsia" w:ascii="仿宋" w:hAnsi="仿宋" w:eastAsia="仿宋"/>
          <w:b w:val="0"/>
          <w:bCs w:val="0"/>
          <w:color w:val="auto"/>
          <w:highlight w:val="none"/>
        </w:rPr>
        <w:t>府性基金预算财政拨款收入支出决算表</w:t>
      </w:r>
      <w:bookmarkEnd w:id="63"/>
    </w:p>
    <w:p>
      <w:pPr>
        <w:pStyle w:val="4"/>
        <w:rPr>
          <w:rFonts w:ascii="仿宋" w:hAnsi="仿宋" w:eastAsia="仿宋"/>
          <w:color w:val="auto"/>
          <w:highlight w:val="none"/>
        </w:rPr>
      </w:pPr>
      <w:bookmarkStart w:id="64" w:name="_Toc15396630"/>
      <w:r>
        <w:rPr>
          <w:rStyle w:val="30"/>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30"/>
          <w:rFonts w:hint="eastAsia" w:ascii="仿宋" w:hAnsi="仿宋" w:eastAsia="仿宋"/>
          <w:b w:val="0"/>
          <w:bCs w:val="0"/>
          <w:color w:val="auto"/>
          <w:highlight w:val="none"/>
        </w:rPr>
        <w:t>府性基金预算财政拨款“三公”经费支出决算表</w:t>
      </w:r>
      <w:bookmarkEnd w:id="64"/>
    </w:p>
    <w:p>
      <w:pPr>
        <w:pStyle w:val="4"/>
        <w:rPr>
          <w:rStyle w:val="30"/>
          <w:rFonts w:hint="eastAsia" w:ascii="仿宋" w:hAnsi="仿宋" w:eastAsia="仿宋"/>
          <w:b w:val="0"/>
          <w:bCs w:val="0"/>
          <w:color w:val="auto"/>
          <w:highlight w:val="none"/>
        </w:rPr>
      </w:pPr>
      <w:bookmarkStart w:id="65" w:name="_Toc15396631"/>
      <w:r>
        <w:rPr>
          <w:rStyle w:val="30"/>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30"/>
          <w:rFonts w:hint="eastAsia" w:ascii="仿宋" w:hAnsi="仿宋" w:eastAsia="仿宋"/>
          <w:b w:val="0"/>
          <w:bCs w:val="0"/>
          <w:color w:val="auto"/>
          <w:highlight w:val="none"/>
        </w:rPr>
        <w:t>有资本经营预算</w:t>
      </w:r>
      <w:r>
        <w:rPr>
          <w:rStyle w:val="30"/>
          <w:rFonts w:hint="eastAsia" w:ascii="仿宋" w:hAnsi="仿宋" w:eastAsia="仿宋"/>
          <w:b w:val="0"/>
          <w:bCs w:val="0"/>
          <w:color w:val="auto"/>
          <w:highlight w:val="none"/>
          <w:lang w:eastAsia="zh-CN"/>
        </w:rPr>
        <w:t>财政拨款收入</w:t>
      </w:r>
      <w:r>
        <w:rPr>
          <w:rStyle w:val="30"/>
          <w:rFonts w:hint="eastAsia" w:ascii="仿宋" w:hAnsi="仿宋" w:eastAsia="仿宋"/>
          <w:b w:val="0"/>
          <w:bCs w:val="0"/>
          <w:color w:val="auto"/>
          <w:highlight w:val="none"/>
        </w:rPr>
        <w:t>支出决算表</w:t>
      </w:r>
      <w:bookmarkEnd w:id="65"/>
    </w:p>
    <w:p>
      <w:pPr>
        <w:rPr>
          <w:rFonts w:hint="eastAsia" w:eastAsia="仿宋"/>
          <w:color w:val="auto"/>
          <w:highlight w:val="none"/>
          <w:lang w:eastAsia="zh-CN"/>
        </w:rPr>
      </w:pPr>
      <w:r>
        <w:rPr>
          <w:rStyle w:val="30"/>
          <w:rFonts w:hint="eastAsia" w:ascii="仿宋" w:hAnsi="仿宋" w:eastAsia="仿宋"/>
          <w:b w:val="0"/>
          <w:bCs w:val="0"/>
          <w:color w:val="auto"/>
          <w:highlight w:val="none"/>
          <w:lang w:eastAsia="zh-CN"/>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1"/>
          <w:jc w:val="center"/>
        </w:pPr>
        <w:r>
          <w:fldChar w:fldCharType="begin"/>
        </w:r>
        <w:r>
          <w:instrText xml:space="preserve">PAGE   \* MERGEFORMAT</w:instrText>
        </w:r>
        <w:r>
          <w:fldChar w:fldCharType="separate"/>
        </w:r>
        <w:r>
          <w:rPr>
            <w:lang w:val="zh-CN"/>
          </w:rPr>
          <w:t>8</w:t>
        </w:r>
        <w: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9E36C"/>
    <w:multiLevelType w:val="singleLevel"/>
    <w:tmpl w:val="86E9E36C"/>
    <w:lvl w:ilvl="0" w:tentative="0">
      <w:start w:val="2"/>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lOTFiMzg3M2UyZGJkMjZlODI1YzE5ZThkNmEyNm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66F31"/>
    <w:rsid w:val="00F754A1"/>
    <w:rsid w:val="00F81FD9"/>
    <w:rsid w:val="00F841AA"/>
    <w:rsid w:val="00F84A94"/>
    <w:rsid w:val="00F87E96"/>
    <w:rsid w:val="00FA23E8"/>
    <w:rsid w:val="00FD3CC1"/>
    <w:rsid w:val="00FF1E02"/>
    <w:rsid w:val="00FF30B4"/>
    <w:rsid w:val="013E54DE"/>
    <w:rsid w:val="0217792C"/>
    <w:rsid w:val="0270061D"/>
    <w:rsid w:val="02D9001A"/>
    <w:rsid w:val="038A7E04"/>
    <w:rsid w:val="03CE5E1B"/>
    <w:rsid w:val="05754924"/>
    <w:rsid w:val="0599432F"/>
    <w:rsid w:val="065B706B"/>
    <w:rsid w:val="066E57BB"/>
    <w:rsid w:val="08CC1CC2"/>
    <w:rsid w:val="09507B5E"/>
    <w:rsid w:val="098A08A4"/>
    <w:rsid w:val="09971E16"/>
    <w:rsid w:val="09DA0957"/>
    <w:rsid w:val="0A2032A3"/>
    <w:rsid w:val="0A376187"/>
    <w:rsid w:val="0B8A37D8"/>
    <w:rsid w:val="0C6E7464"/>
    <w:rsid w:val="0D286EEB"/>
    <w:rsid w:val="0DE268E1"/>
    <w:rsid w:val="0E5F092C"/>
    <w:rsid w:val="108160EB"/>
    <w:rsid w:val="10C055FF"/>
    <w:rsid w:val="10DB2173"/>
    <w:rsid w:val="10F22B45"/>
    <w:rsid w:val="118107EC"/>
    <w:rsid w:val="11DD6519"/>
    <w:rsid w:val="12834BD3"/>
    <w:rsid w:val="1324023A"/>
    <w:rsid w:val="14514D97"/>
    <w:rsid w:val="14DF53CE"/>
    <w:rsid w:val="14F8090B"/>
    <w:rsid w:val="16BB723D"/>
    <w:rsid w:val="16D554F3"/>
    <w:rsid w:val="174E5FAA"/>
    <w:rsid w:val="18015F3F"/>
    <w:rsid w:val="18B76AC3"/>
    <w:rsid w:val="1A1D0C33"/>
    <w:rsid w:val="1BE8440E"/>
    <w:rsid w:val="1D155CEE"/>
    <w:rsid w:val="1E737028"/>
    <w:rsid w:val="1EBD1E25"/>
    <w:rsid w:val="1ED435E2"/>
    <w:rsid w:val="1F9E350F"/>
    <w:rsid w:val="1FF1600F"/>
    <w:rsid w:val="20F57F95"/>
    <w:rsid w:val="21DA0B5A"/>
    <w:rsid w:val="21DC3ECF"/>
    <w:rsid w:val="23C349D0"/>
    <w:rsid w:val="240371BF"/>
    <w:rsid w:val="25C741E6"/>
    <w:rsid w:val="27842671"/>
    <w:rsid w:val="28BA0F39"/>
    <w:rsid w:val="29FD04D3"/>
    <w:rsid w:val="2ABE7A3E"/>
    <w:rsid w:val="2C091017"/>
    <w:rsid w:val="2EAE40F8"/>
    <w:rsid w:val="2EFA178C"/>
    <w:rsid w:val="309B57A2"/>
    <w:rsid w:val="30B46D73"/>
    <w:rsid w:val="30EC052E"/>
    <w:rsid w:val="319F7F4E"/>
    <w:rsid w:val="32DF066D"/>
    <w:rsid w:val="335D072D"/>
    <w:rsid w:val="3611429F"/>
    <w:rsid w:val="36BB2F03"/>
    <w:rsid w:val="39AE70AB"/>
    <w:rsid w:val="3A3D63AC"/>
    <w:rsid w:val="3AB74334"/>
    <w:rsid w:val="3B374E9C"/>
    <w:rsid w:val="3B536891"/>
    <w:rsid w:val="3C0C0783"/>
    <w:rsid w:val="3C8D6BCF"/>
    <w:rsid w:val="3F9F3A96"/>
    <w:rsid w:val="40980764"/>
    <w:rsid w:val="40BC4452"/>
    <w:rsid w:val="42F90667"/>
    <w:rsid w:val="449F47B6"/>
    <w:rsid w:val="44E91A8A"/>
    <w:rsid w:val="45EA380F"/>
    <w:rsid w:val="46424CA1"/>
    <w:rsid w:val="493C27E9"/>
    <w:rsid w:val="496F39ED"/>
    <w:rsid w:val="49FF41D3"/>
    <w:rsid w:val="4B0D6B9A"/>
    <w:rsid w:val="4BA775C9"/>
    <w:rsid w:val="4BE068DB"/>
    <w:rsid w:val="4BF6002B"/>
    <w:rsid w:val="4C9C46EC"/>
    <w:rsid w:val="4ECE2238"/>
    <w:rsid w:val="51DB4B86"/>
    <w:rsid w:val="51EA46A4"/>
    <w:rsid w:val="52AF7F85"/>
    <w:rsid w:val="55333C3E"/>
    <w:rsid w:val="598C4EB2"/>
    <w:rsid w:val="59D61838"/>
    <w:rsid w:val="5B0553F7"/>
    <w:rsid w:val="5B8D5FD4"/>
    <w:rsid w:val="5D0F5E8E"/>
    <w:rsid w:val="5D7B6862"/>
    <w:rsid w:val="5DDB17EF"/>
    <w:rsid w:val="5E3D49CC"/>
    <w:rsid w:val="612D4AA1"/>
    <w:rsid w:val="627B6AB8"/>
    <w:rsid w:val="62D37197"/>
    <w:rsid w:val="63DE0F70"/>
    <w:rsid w:val="64CA39A1"/>
    <w:rsid w:val="64E21C7D"/>
    <w:rsid w:val="671A4ECD"/>
    <w:rsid w:val="69F765FE"/>
    <w:rsid w:val="6B9B12FC"/>
    <w:rsid w:val="6C4A05C8"/>
    <w:rsid w:val="6D2A0175"/>
    <w:rsid w:val="6EBA3E17"/>
    <w:rsid w:val="72734D90"/>
    <w:rsid w:val="79E7B28D"/>
    <w:rsid w:val="7AC1461E"/>
    <w:rsid w:val="7BBD122C"/>
    <w:rsid w:val="7BD779D5"/>
    <w:rsid w:val="7C3B7CBC"/>
    <w:rsid w:val="7C3C5E6C"/>
    <w:rsid w:val="7E3D0FC8"/>
    <w:rsid w:val="7F4473F0"/>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6"/>
    <w:qFormat/>
    <w:uiPriority w:val="99"/>
    <w:pPr>
      <w:spacing w:beforeLines="30"/>
    </w:pPr>
    <w:rPr>
      <w:rFonts w:ascii="仿宋_GB2312" w:eastAsia="仿宋_GB2312"/>
      <w:kern w:val="0"/>
      <w:sz w:val="30"/>
    </w:rPr>
  </w:style>
  <w:style w:type="paragraph" w:styleId="6">
    <w:name w:val="Normal Indent"/>
    <w:basedOn w:val="1"/>
    <w:next w:val="7"/>
    <w:qFormat/>
    <w:uiPriority w:val="99"/>
    <w:pPr>
      <w:ind w:firstLine="420" w:firstLineChars="200"/>
    </w:pPr>
  </w:style>
  <w:style w:type="paragraph" w:styleId="7">
    <w:name w:val="Body Text First Indent"/>
    <w:basedOn w:val="2"/>
    <w:qFormat/>
    <w:uiPriority w:val="0"/>
    <w:pPr>
      <w:ind w:firstLine="100" w:firstLineChars="100"/>
    </w:pPr>
    <w:rPr>
      <w:rFonts w:eastAsia="仿宋_GB2312"/>
      <w:sz w:val="32"/>
    </w:rPr>
  </w:style>
  <w:style w:type="paragraph" w:styleId="8">
    <w:name w:val="Body Text Indent"/>
    <w:basedOn w:val="1"/>
    <w:qFormat/>
    <w:uiPriority w:val="0"/>
    <w:pPr>
      <w:tabs>
        <w:tab w:val="left" w:pos="525"/>
      </w:tabs>
      <w:ind w:firstLine="523" w:firstLineChars="218"/>
    </w:pPr>
    <w:rPr>
      <w:rFonts w:ascii="宋体" w:cs="宋体"/>
      <w:sz w:val="24"/>
      <w:szCs w:val="24"/>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2"/>
    <w:semiHidden/>
    <w:unhideWhenUsed/>
    <w:qFormat/>
    <w:uiPriority w:val="99"/>
    <w:rPr>
      <w:sz w:val="18"/>
      <w:szCs w:val="18"/>
    </w:rPr>
  </w:style>
  <w:style w:type="paragraph" w:styleId="11">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styleId="16">
    <w:name w:val="Body Text First Indent 2"/>
    <w:basedOn w:val="8"/>
    <w:qFormat/>
    <w:uiPriority w:val="0"/>
    <w:pPr>
      <w:ind w:firstLine="420" w:firstLineChars="200"/>
    </w:pPr>
  </w:style>
  <w:style w:type="character" w:styleId="19">
    <w:name w:val="Strong"/>
    <w:basedOn w:val="18"/>
    <w:qFormat/>
    <w:uiPriority w:val="99"/>
    <w:rPr>
      <w:b/>
    </w:rPr>
  </w:style>
  <w:style w:type="character" w:styleId="20">
    <w:name w:val="Hyperlink"/>
    <w:basedOn w:val="18"/>
    <w:unhideWhenUsed/>
    <w:qFormat/>
    <w:uiPriority w:val="99"/>
    <w:rPr>
      <w:color w:val="0000FF" w:themeColor="hyperlink"/>
      <w:u w:val="single"/>
      <w14:textFill>
        <w14:solidFill>
          <w14:schemeClr w14:val="hlink"/>
        </w14:solidFill>
      </w14:textFill>
    </w:rPr>
  </w:style>
  <w:style w:type="character" w:customStyle="1" w:styleId="21">
    <w:name w:val="Header Char"/>
    <w:basedOn w:val="18"/>
    <w:semiHidden/>
    <w:qFormat/>
    <w:uiPriority w:val="99"/>
    <w:rPr>
      <w:rFonts w:ascii="Times New Roman" w:hAnsi="Times New Roman"/>
      <w:sz w:val="18"/>
      <w:szCs w:val="18"/>
    </w:rPr>
  </w:style>
  <w:style w:type="character" w:customStyle="1" w:styleId="22">
    <w:name w:val="页眉 Char"/>
    <w:link w:val="12"/>
    <w:semiHidden/>
    <w:qFormat/>
    <w:locked/>
    <w:uiPriority w:val="99"/>
    <w:rPr>
      <w:sz w:val="18"/>
    </w:rPr>
  </w:style>
  <w:style w:type="character" w:customStyle="1" w:styleId="23">
    <w:name w:val="Footer Char"/>
    <w:basedOn w:val="18"/>
    <w:semiHidden/>
    <w:qFormat/>
    <w:uiPriority w:val="99"/>
    <w:rPr>
      <w:rFonts w:ascii="Times New Roman" w:hAnsi="Times New Roman"/>
      <w:sz w:val="18"/>
      <w:szCs w:val="18"/>
    </w:rPr>
  </w:style>
  <w:style w:type="character" w:customStyle="1" w:styleId="24">
    <w:name w:val="页脚 Char"/>
    <w:link w:val="11"/>
    <w:qFormat/>
    <w:locked/>
    <w:uiPriority w:val="99"/>
    <w:rPr>
      <w:sz w:val="18"/>
    </w:rPr>
  </w:style>
  <w:style w:type="character" w:customStyle="1" w:styleId="25">
    <w:name w:val="Body Text Char"/>
    <w:basedOn w:val="18"/>
    <w:semiHidden/>
    <w:qFormat/>
    <w:uiPriority w:val="99"/>
    <w:rPr>
      <w:rFonts w:ascii="Times New Roman" w:hAnsi="Times New Roman"/>
      <w:szCs w:val="24"/>
    </w:rPr>
  </w:style>
  <w:style w:type="character" w:customStyle="1" w:styleId="26">
    <w:name w:val="正文文本 Char"/>
    <w:link w:val="2"/>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8"/>
    <w:link w:val="3"/>
    <w:qFormat/>
    <w:uiPriority w:val="9"/>
    <w:rPr>
      <w:rFonts w:ascii="Times New Roman" w:hAnsi="Times New Roman"/>
      <w:b/>
      <w:bCs/>
      <w:kern w:val="44"/>
      <w:sz w:val="44"/>
      <w:szCs w:val="44"/>
    </w:rPr>
  </w:style>
  <w:style w:type="character" w:customStyle="1" w:styleId="30">
    <w:name w:val="标题 2 Char"/>
    <w:basedOn w:val="18"/>
    <w:link w:val="4"/>
    <w:qFormat/>
    <w:uiPriority w:val="9"/>
    <w:rPr>
      <w:rFonts w:asciiTheme="majorHAnsi" w:hAnsiTheme="majorHAnsi" w:eastAsiaTheme="majorEastAsia" w:cstheme="majorBidi"/>
      <w:b/>
      <w:bCs/>
      <w:kern w:val="2"/>
      <w:sz w:val="32"/>
      <w:szCs w:val="32"/>
    </w:rPr>
  </w:style>
  <w:style w:type="paragraph" w:customStyle="1" w:styleId="3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8"/>
    <w:link w:val="10"/>
    <w:semiHidden/>
    <w:qFormat/>
    <w:uiPriority w:val="99"/>
    <w:rPr>
      <w:rFonts w:ascii="Times New Roman" w:hAnsi="Times New Roman"/>
      <w:kern w:val="2"/>
      <w:sz w:val="18"/>
      <w:szCs w:val="18"/>
    </w:rPr>
  </w:style>
  <w:style w:type="character" w:customStyle="1" w:styleId="33">
    <w:name w:val="标题 3 Char"/>
    <w:basedOn w:val="18"/>
    <w:link w:val="5"/>
    <w:qFormat/>
    <w:uiPriority w:val="9"/>
    <w:rPr>
      <w:rFonts w:ascii="Times New Roman" w:hAnsi="Times New Roman"/>
      <w:b/>
      <w:bCs/>
      <w:kern w:val="2"/>
      <w:sz w:val="32"/>
      <w:szCs w:val="32"/>
    </w:rPr>
  </w:style>
  <w:style w:type="paragraph" w:customStyle="1" w:styleId="34">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themeOverride" Target="../theme/themeOverride1.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收、支决算总计变动情况图（单位：万元）</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2020年</c:v>
                </c:pt>
              </c:strCache>
            </c:strRef>
          </c:tx>
          <c:spPr>
            <a:gradFill>
              <a:gsLst>
                <a:gs pos="0">
                  <a:srgbClr val="007BD3"/>
                </a:gs>
                <a:gs pos="100000">
                  <a:srgbClr val="034373"/>
                </a:gs>
              </a:gsLst>
              <a:lin ang="5400000" scaled="0"/>
            </a:gra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6598.40</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c:v>
                </c:pt>
              </c:strCache>
            </c:strRef>
          </c:cat>
          <c:val>
            <c:numRef>
              <c:f>Sheet1!$B$2</c:f>
              <c:numCache>
                <c:formatCode>General</c:formatCode>
                <c:ptCount val="1"/>
                <c:pt idx="0">
                  <c:v>4297.23</c:v>
                </c:pt>
              </c:numCache>
            </c:numRef>
          </c:val>
        </c:ser>
        <c:ser>
          <c:idx val="1"/>
          <c:order val="1"/>
          <c:tx>
            <c:strRef>
              <c:f>Sheet1!$C$1</c:f>
              <c:strCache>
                <c:ptCount val="1"/>
                <c:pt idx="0">
                  <c:v>2021年</c:v>
                </c:pt>
              </c:strCache>
            </c:strRef>
          </c:tx>
          <c:spPr>
            <a:gradFill>
              <a:gsLst>
                <a:gs pos="0">
                  <a:schemeClr val="accent2">
                    <a:lumMod val="75000"/>
                  </a:schemeClr>
                </a:gs>
                <a:gs pos="100000">
                  <a:srgbClr val="832B2B"/>
                </a:gs>
              </a:gsLst>
              <a:lin ang="5400000" scaled="0"/>
            </a:gradFill>
            <a:ln>
              <a:noFill/>
            </a:ln>
            <a:effectLst/>
          </c:spPr>
          <c:invertIfNegative val="0"/>
          <c:dPt>
            <c:idx val="0"/>
            <c:invertIfNegative val="0"/>
            <c:bubble3D val="0"/>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7182.58</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c:v>
                </c:pt>
              </c:strCache>
            </c:strRef>
          </c:cat>
          <c:val>
            <c:numRef>
              <c:f>Sheet1!$C$2</c:f>
              <c:numCache>
                <c:formatCode>General</c:formatCode>
                <c:ptCount val="1"/>
                <c:pt idx="0">
                  <c:v>4756.78</c:v>
                </c:pt>
              </c:numCache>
            </c:numRef>
          </c:val>
        </c:ser>
        <c:dLbls>
          <c:showLegendKey val="0"/>
          <c:showVal val="1"/>
          <c:showCatName val="0"/>
          <c:showSerName val="0"/>
          <c:showPercent val="0"/>
          <c:showBubbleSize val="0"/>
        </c:dLbls>
        <c:gapWidth val="150"/>
        <c:overlap val="-25"/>
        <c:axId val="926122386"/>
        <c:axId val="980416981"/>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c15:sqref>
                        </c15:formulaRef>
                      </c:ext>
                    </c:extLst>
                    <c:strCache>
                      <c:ptCount val="1"/>
                      <c:pt idx="0">
                        <c:v>一般公共预算财政拨款</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926122386"/>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0416981"/>
        <c:crosses val="autoZero"/>
        <c:auto val="1"/>
        <c:lblAlgn val="ctr"/>
        <c:lblOffset val="100"/>
        <c:noMultiLvlLbl val="0"/>
      </c:catAx>
      <c:valAx>
        <c:axId val="980416981"/>
        <c:scaling>
          <c:orientation val="minMax"/>
        </c:scaling>
        <c:delete val="1"/>
        <c:axPos val="l"/>
        <c:numFmt formatCode="General"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6122386"/>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收入决算结构图（单位：万元）</a:t>
            </a:r>
          </a:p>
        </c:rich>
      </c:tx>
      <c:layout/>
      <c:overlay val="0"/>
      <c:spPr>
        <a:noFill/>
        <a:ln>
          <a:noFill/>
        </a:ln>
        <a:effectLst/>
      </c:spPr>
    </c:title>
    <c:autoTitleDeleted val="0"/>
    <c:plotArea>
      <c:layout>
        <c:manualLayout>
          <c:layoutTarget val="inner"/>
          <c:xMode val="edge"/>
          <c:yMode val="edge"/>
          <c:x val="0.298067413404152"/>
          <c:y val="0.199134199134199"/>
          <c:w val="0.411575273422998"/>
          <c:h val="0.693263804713804"/>
        </c:manualLayout>
      </c:layout>
      <c:pieChart>
        <c:varyColors val="1"/>
        <c:ser>
          <c:idx val="0"/>
          <c:order val="0"/>
          <c:tx>
            <c:strRef>
              <c:f>Sheet1!$B$1</c:f>
              <c:strCache>
                <c:ptCount val="1"/>
                <c:pt idx="0">
                  <c:v>本年收入</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财政拨款收入</c:v>
                </c:pt>
                <c:pt idx="1">
                  <c:v>经营收入</c:v>
                </c:pt>
                <c:pt idx="2">
                  <c:v>其他收入</c:v>
                </c:pt>
              </c:strCache>
            </c:strRef>
          </c:cat>
          <c:val>
            <c:numRef>
              <c:f>Sheet1!$B$2:$B$4</c:f>
              <c:numCache>
                <c:formatCode>General</c:formatCode>
                <c:ptCount val="3"/>
                <c:pt idx="0">
                  <c:v>4756.78</c:v>
                </c:pt>
                <c:pt idx="1">
                  <c:v>2425.15</c:v>
                </c:pt>
                <c:pt idx="2">
                  <c:v>0.65</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a:p>
            <a:pPr defTabSz="914400">
              <a:defRPr lang="zh-CN" sz="1400" b="0" i="0" u="none" strike="noStrike" kern="1200" spc="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a:p>
            <a:pPr defTabSz="914400">
              <a:defRPr lang="zh-CN" sz="1400" b="0" i="0" u="none" strike="noStrike" kern="1200" spc="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a:p>
            <a:pPr defTabSz="914400">
              <a:defRPr lang="zh-CN" sz="1400" b="0" i="0" u="none" strike="noStrike" kern="1200" spc="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a:p>
            <a:pPr defTabSz="914400">
              <a:defRPr lang="zh-CN" sz="1400" b="0" i="0" u="none" strike="noStrike" kern="1200" spc="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支出决算结构图（单位：万元）</a:t>
            </a:r>
          </a:p>
        </c:rich>
      </c:tx>
      <c:layout>
        <c:manualLayout>
          <c:xMode val="edge"/>
          <c:yMode val="edge"/>
          <c:x val="0.22316741452744"/>
          <c:y val="0.027802037845706"/>
        </c:manualLayout>
      </c:layout>
      <c:overlay val="0"/>
      <c:spPr>
        <a:noFill/>
        <a:ln>
          <a:noFill/>
        </a:ln>
        <a:effectLst/>
      </c:spPr>
    </c:title>
    <c:autoTitleDeleted val="0"/>
    <c:plotArea>
      <c:layout>
        <c:manualLayout>
          <c:layoutTarget val="inner"/>
          <c:xMode val="edge"/>
          <c:yMode val="edge"/>
          <c:x val="0.298067413404152"/>
          <c:y val="0.199134199134199"/>
          <c:w val="0.411575273422998"/>
          <c:h val="0.693263804713804"/>
        </c:manualLayout>
      </c:layout>
      <c:pieChart>
        <c:varyColors val="1"/>
        <c:ser>
          <c:idx val="0"/>
          <c:order val="0"/>
          <c:tx>
            <c:strRef>
              <c:f>Sheet1!$B$1</c:f>
              <c:strCache>
                <c:ptCount val="1"/>
                <c:pt idx="0">
                  <c:v>本年支出</c:v>
                </c:pt>
              </c:strCache>
            </c:strRef>
          </c:tx>
          <c:spPr>
            <a:solidFill>
              <a:srgbClr val="63B1EF">
                <a:alpha val="67000"/>
              </a:srgbClr>
            </a:solidFill>
            <a:ln w="19050" cap="rnd">
              <a:noFill/>
              <a:round/>
            </a:ln>
            <a:effectLst/>
          </c:spPr>
          <c:explosion val="0"/>
          <c:dPt>
            <c:idx val="0"/>
            <c:bubble3D val="0"/>
            <c:spPr>
              <a:solidFill>
                <a:srgbClr val="63B1EF">
                  <a:alpha val="67000"/>
                </a:srgbClr>
              </a:solidFill>
              <a:ln w="19050" cap="rnd">
                <a:noFill/>
                <a:round/>
              </a:ln>
              <a:effectLst/>
            </c:spPr>
          </c:dPt>
          <c:dPt>
            <c:idx val="1"/>
            <c:bubble3D val="0"/>
            <c:spPr>
              <a:solidFill>
                <a:srgbClr val="75D890">
                  <a:alpha val="67000"/>
                </a:srgbClr>
              </a:solidFill>
              <a:ln w="19050" cap="rnd">
                <a:noFill/>
                <a:round/>
              </a:ln>
              <a:effectLst/>
            </c:spPr>
          </c:dPt>
          <c:dPt>
            <c:idx val="2"/>
            <c:bubble3D val="0"/>
            <c:spPr>
              <a:solidFill>
                <a:srgbClr val="FB7E72">
                  <a:alpha val="67000"/>
                </a:srgbClr>
              </a:solidFill>
              <a:ln w="19050" cap="rnd">
                <a:noFill/>
                <a:round/>
              </a:ln>
              <a:effectLst/>
            </c:spPr>
          </c:dPt>
          <c:dLbls>
            <c:dLbl>
              <c:idx val="0"/>
              <c:layout/>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dLblPos val="inEnd"/>
              <c:showLegendKey val="0"/>
              <c:showVal val="0"/>
              <c:showCatName val="1"/>
              <c:showSerName val="0"/>
              <c:showPercent val="1"/>
              <c:showBubbleSize val="0"/>
              <c:separator> </c:separator>
              <c:extLst>
                <c:ext xmlns:c15="http://schemas.microsoft.com/office/drawing/2012/chart" uri="{CE6537A1-D6FC-4f65-9D91-7224C49458BB}"/>
              </c:extLst>
            </c:dLbl>
            <c:numFmt formatCode="0.00%" sourceLinked="0"/>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基本支出</c:v>
                </c:pt>
                <c:pt idx="1">
                  <c:v>项目支出</c:v>
                </c:pt>
                <c:pt idx="2">
                  <c:v>经营支出</c:v>
                </c:pt>
              </c:strCache>
            </c:strRef>
          </c:cat>
          <c:val>
            <c:numRef>
              <c:f>Sheet1!$B$2:$B$4</c:f>
              <c:numCache>
                <c:formatCode>General</c:formatCode>
                <c:ptCount val="3"/>
                <c:pt idx="0">
                  <c:v>4687.8</c:v>
                </c:pt>
                <c:pt idx="1">
                  <c:v>69</c:v>
                </c:pt>
                <c:pt idx="2">
                  <c:v>2416.37</c:v>
                </c:pt>
              </c:numCache>
            </c:numRef>
          </c:val>
        </c:ser>
        <c:dLbls>
          <c:showLegendKey val="0"/>
          <c:showVal val="0"/>
          <c:showCatName val="1"/>
          <c:showSerName val="0"/>
          <c:showPercent val="1"/>
          <c:showBubbleSize val="0"/>
          <c:showLeaderLines val="1"/>
        </c:dLbls>
        <c:firstSliceAng val="0"/>
      </c:pieChart>
      <c:spPr>
        <a:pattFill prst="lgGrid">
          <a:fgClr>
            <a:srgbClr val="F8F8F8"/>
          </a:fgClr>
          <a:bgClr>
            <a:schemeClr val="bg1"/>
          </a:bgClr>
        </a:pattFill>
        <a:ln>
          <a:solidFill>
            <a:schemeClr val="bg1">
              <a:lumMod val="95000"/>
            </a:schemeClr>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财政拨款收、支决算变动情况图（单位：万元）</a:t>
            </a:r>
          </a:p>
        </c:rich>
      </c:tx>
      <c:layout>
        <c:manualLayout>
          <c:xMode val="edge"/>
          <c:yMode val="edge"/>
          <c:x val="0.119631901840491"/>
          <c:y val="0.0197076695680736"/>
        </c:manualLayout>
      </c:layout>
      <c:overlay val="0"/>
      <c:spPr>
        <a:noFill/>
        <a:ln>
          <a:noFill/>
        </a:ln>
        <a:effectLst/>
      </c:spPr>
    </c:title>
    <c:autoTitleDeleted val="0"/>
    <c:plotArea>
      <c:layout>
        <c:manualLayout>
          <c:layoutTarget val="inner"/>
          <c:xMode val="edge"/>
          <c:yMode val="edge"/>
          <c:x val="0.088075"/>
          <c:y val="0.186833333333333"/>
          <c:w val="0.8863"/>
          <c:h val="0.6524"/>
        </c:manualLayout>
      </c:layout>
      <c:barChart>
        <c:barDir val="col"/>
        <c:grouping val="clustered"/>
        <c:varyColors val="0"/>
        <c:ser>
          <c:idx val="0"/>
          <c:order val="0"/>
          <c:tx>
            <c:strRef>
              <c:f>Sheet1!$B$1</c:f>
              <c:strCache>
                <c:ptCount val="1"/>
                <c:pt idx="0">
                  <c:v>2020年</c:v>
                </c:pt>
              </c:strCache>
            </c:strRef>
          </c:tx>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a:outerShdw blurRad="76200" dist="25400" dir="2700000" algn="tl" rotWithShape="0">
                <a:schemeClr val="accent1">
                  <a:lumMod val="50000"/>
                  <a:alpha val="30000"/>
                </a:scheme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c:v>
                </c:pt>
              </c:strCache>
            </c:strRef>
          </c:cat>
          <c:val>
            <c:numRef>
              <c:f>Sheet1!$B$2</c:f>
              <c:numCache>
                <c:formatCode>General</c:formatCode>
                <c:ptCount val="1"/>
                <c:pt idx="0">
                  <c:v>4297.23</c:v>
                </c:pt>
              </c:numCache>
            </c:numRef>
          </c:val>
        </c:ser>
        <c:ser>
          <c:idx val="1"/>
          <c:order val="1"/>
          <c:tx>
            <c:strRef>
              <c:f>Sheet1!$C$1</c:f>
              <c:strCache>
                <c:ptCount val="1"/>
                <c:pt idx="0">
                  <c:v>2021年</c:v>
                </c:pt>
              </c:strCache>
            </c:strRef>
          </c:tx>
          <c:spPr>
            <a:gradFill>
              <a:gsLst>
                <a:gs pos="0">
                  <a:schemeClr val="accent2">
                    <a:lumMod val="40000"/>
                    <a:lumOff val="60000"/>
                  </a:schemeClr>
                </a:gs>
                <a:gs pos="90000">
                  <a:schemeClr val="accent2"/>
                </a:gs>
              </a:gsLst>
              <a:lin ang="5400000" scaled="0"/>
            </a:gradFill>
            <a:ln>
              <a:gradFill>
                <a:gsLst>
                  <a:gs pos="0">
                    <a:schemeClr val="accent2"/>
                  </a:gs>
                  <a:gs pos="100000">
                    <a:schemeClr val="accent2">
                      <a:lumMod val="75000"/>
                    </a:schemeClr>
                  </a:gs>
                </a:gsLst>
                <a:lin ang="5400000" scaled="1"/>
              </a:gradFill>
            </a:ln>
            <a:effectLst>
              <a:outerShdw blurRad="76200" dist="25400" dir="2700000" algn="tl" rotWithShape="0">
                <a:schemeClr val="accent2">
                  <a:lumMod val="50000"/>
                  <a:alpha val="30000"/>
                </a:scheme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c:v>
                </c:pt>
              </c:strCache>
            </c:strRef>
          </c:cat>
          <c:val>
            <c:numRef>
              <c:f>Sheet1!$C$2</c:f>
              <c:numCache>
                <c:formatCode>General</c:formatCode>
                <c:ptCount val="1"/>
                <c:pt idx="0">
                  <c:v>4756.78</c:v>
                </c:pt>
              </c:numCache>
            </c:numRef>
          </c:val>
        </c:ser>
        <c:dLbls>
          <c:showLegendKey val="0"/>
          <c:showVal val="1"/>
          <c:showCatName val="0"/>
          <c:showSerName val="0"/>
          <c:showPercent val="0"/>
          <c:showBubbleSize val="0"/>
        </c:dLbls>
        <c:gapWidth val="246"/>
        <c:overlap val="-28"/>
        <c:axId val="926122386"/>
        <c:axId val="980416981"/>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gradFill>
                    <a:gsLst>
                      <a:gs pos="0">
                        <a:schemeClr val="accent3">
                          <a:lumMod val="40000"/>
                          <a:lumOff val="60000"/>
                        </a:schemeClr>
                      </a:gs>
                      <a:gs pos="90000">
                        <a:schemeClr val="accent3"/>
                      </a:gs>
                    </a:gsLst>
                    <a:lin ang="5400000" scaled="0"/>
                  </a:gradFill>
                  <a:ln>
                    <a:gradFill>
                      <a:gsLst>
                        <a:gs pos="0">
                          <a:schemeClr val="accent3"/>
                        </a:gs>
                        <a:gs pos="100000">
                          <a:schemeClr val="accent3">
                            <a:lumMod val="75000"/>
                          </a:schemeClr>
                        </a:gs>
                      </a:gsLst>
                      <a:lin ang="5400000" scaled="1"/>
                    </a:gradFill>
                  </a:ln>
                  <a:effectLst>
                    <a:outerShdw blurRad="76200" dist="25400" dir="2700000" algn="tl" rotWithShape="0">
                      <a:schemeClr val="accent3">
                        <a:lumMod val="50000"/>
                        <a:alpha val="30000"/>
                      </a:scheme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c15:sqref>
                        </c15:formulaRef>
                      </c:ext>
                    </c:extLst>
                    <c:strCache>
                      <c:ptCount val="1"/>
                      <c:pt idx="0">
                        <c:v>一般公共预算财政拨款</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926122386"/>
        <c:scaling>
          <c:orientation val="minMax"/>
        </c:scaling>
        <c:delete val="1"/>
        <c:axPos val="b"/>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0416981"/>
        <c:crosses val="autoZero"/>
        <c:auto val="1"/>
        <c:lblAlgn val="ctr"/>
        <c:lblOffset val="100"/>
        <c:noMultiLvlLbl val="0"/>
      </c:catAx>
      <c:valAx>
        <c:axId val="980416981"/>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612238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cap="none" spc="0" normalizeH="0" baseline="0">
                <a:solidFill>
                  <a:schemeClr val="dk1">
                    <a:lumMod val="50000"/>
                    <a:lumOff val="50000"/>
                  </a:schemeClr>
                </a:solidFill>
                <a:latin typeface="+mj-lt"/>
                <a:ea typeface="+mj-ea"/>
                <a:cs typeface="+mj-cs"/>
              </a:defRPr>
            </a:pPr>
            <a:r>
              <a:t>一般公共预算财政拨款支出决算变动情况（单位：万元）</a:t>
            </a:r>
          </a:p>
        </c:rich>
      </c:tx>
      <c:layout/>
      <c:overlay val="0"/>
      <c:spPr>
        <a:noFill/>
        <a:ln>
          <a:noFill/>
        </a:ln>
        <a:effectLst/>
      </c:spPr>
    </c:title>
    <c:autoTitleDeleted val="0"/>
    <c:plotArea>
      <c:layout>
        <c:manualLayout>
          <c:layoutTarget val="inner"/>
          <c:xMode val="edge"/>
          <c:yMode val="edge"/>
          <c:x val="0.088075"/>
          <c:y val="0.186833333333333"/>
          <c:w val="0.8863"/>
          <c:h val="0.6524"/>
        </c:manualLayout>
      </c:layout>
      <c:barChart>
        <c:barDir val="col"/>
        <c:grouping val="clustered"/>
        <c:varyColors val="0"/>
        <c:ser>
          <c:idx val="0"/>
          <c:order val="0"/>
          <c:tx>
            <c:strRef>
              <c:f>Sheet1!$B$1</c:f>
              <c:strCache>
                <c:ptCount val="1"/>
                <c:pt idx="0">
                  <c:v>2020年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Sheet1!$A$2</c:f>
              <c:strCache>
                <c:ptCount val="1"/>
                <c:pt idx="0">
                  <c:v>一般公共预算财政拨款</c:v>
                </c:pt>
              </c:strCache>
            </c:strRef>
          </c:cat>
          <c:val>
            <c:numRef>
              <c:f>Sheet1!$B$2</c:f>
              <c:numCache>
                <c:formatCode>General</c:formatCode>
                <c:ptCount val="1"/>
                <c:pt idx="0">
                  <c:v>4297.23</c:v>
                </c:pt>
              </c:numCache>
            </c:numRef>
          </c:val>
        </c:ser>
        <c:ser>
          <c:idx val="1"/>
          <c:order val="1"/>
          <c:tx>
            <c:strRef>
              <c:f>Sheet1!$C$1</c:f>
              <c:strCache>
                <c:ptCount val="1"/>
                <c:pt idx="0">
                  <c:v>2021年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Sheet1!$A$2</c:f>
              <c:strCache>
                <c:ptCount val="1"/>
                <c:pt idx="0">
                  <c:v>一般公共预算财政拨款</c:v>
                </c:pt>
              </c:strCache>
            </c:strRef>
          </c:cat>
          <c:val>
            <c:numRef>
              <c:f>Sheet1!$C$2</c:f>
              <c:numCache>
                <c:formatCode>General</c:formatCode>
                <c:ptCount val="1"/>
                <c:pt idx="0">
                  <c:v>4756.78</c:v>
                </c:pt>
              </c:numCache>
            </c:numRef>
          </c:val>
        </c:ser>
        <c:dLbls>
          <c:showLegendKey val="0"/>
          <c:showVal val="1"/>
          <c:showCatName val="0"/>
          <c:showSerName val="0"/>
          <c:showPercent val="0"/>
          <c:showBubbleSize val="0"/>
        </c:dLbls>
        <c:gapWidth val="267"/>
        <c:overlap val="-43"/>
        <c:axId val="926122386"/>
        <c:axId val="980416981"/>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extLst>
                      <c:ext uri="{02D57815-91ED-43cb-92C2-25804820EDAC}">
                        <c15:fullRef>
                          <c15:sqref/>
                        </c15:fullRef>
                        <c15:formulaRef>
                          <c15:sqref>Sheet1!$A$2</c15:sqref>
                        </c15:formulaRef>
                      </c:ext>
                    </c:extLst>
                    <c:strCache>
                      <c:ptCount val="1"/>
                      <c:pt idx="0">
                        <c:v>一般公共预算财政拨款</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926122386"/>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0" vertOverflow="ellipsis" vert="horz" wrap="square" anchor="ctr" anchorCtr="1"/>
          <a:lstStyle/>
          <a:p>
            <a:pPr>
              <a:defRPr lang="zh-CN" sz="900" b="0" i="0" u="none" strike="noStrike" kern="1200" cap="none" spc="0" normalizeH="0" baseline="0">
                <a:solidFill>
                  <a:schemeClr val="dk1">
                    <a:lumMod val="65000"/>
                    <a:lumOff val="35000"/>
                  </a:schemeClr>
                </a:solidFill>
                <a:latin typeface="+mn-lt"/>
                <a:ea typeface="+mn-ea"/>
                <a:cs typeface="+mn-cs"/>
              </a:defRPr>
            </a:pPr>
          </a:p>
        </c:txPr>
        <c:crossAx val="980416981"/>
        <c:crosses val="autoZero"/>
        <c:auto val="1"/>
        <c:lblAlgn val="ctr"/>
        <c:lblOffset val="100"/>
        <c:noMultiLvlLbl val="0"/>
      </c:catAx>
      <c:valAx>
        <c:axId val="980416981"/>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crossAx val="926122386"/>
        <c:crosses val="autoZero"/>
        <c:crossBetween val="between"/>
      </c:valAx>
      <c:spPr>
        <a:pattFill prst="ltDnDiag">
          <a:fgClr>
            <a:schemeClr val="dk1">
              <a:lumMod val="15000"/>
              <a:lumOff val="85000"/>
            </a:schemeClr>
          </a:fgClr>
          <a:bgClr>
            <a:schemeClr val="lt1"/>
          </a:bgClr>
        </a:patt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一般公共预算财政拨款支出决算结构（单位：万元）</a:t>
            </a:r>
          </a:p>
        </c:rich>
      </c:tx>
      <c:layout/>
      <c:overlay val="0"/>
      <c:spPr>
        <a:noFill/>
        <a:ln>
          <a:noFill/>
        </a:ln>
        <a:effectLst/>
      </c:spPr>
    </c:title>
    <c:autoTitleDeleted val="0"/>
    <c:plotArea>
      <c:layout>
        <c:manualLayout>
          <c:layoutTarget val="inner"/>
          <c:xMode val="edge"/>
          <c:yMode val="edge"/>
          <c:x val="0.298067413404152"/>
          <c:y val="0.199134199134199"/>
          <c:w val="0.411575273422998"/>
          <c:h val="0.693263804713804"/>
        </c:manualLayout>
      </c:layout>
      <c:pieChart>
        <c:varyColors val="1"/>
        <c:ser>
          <c:idx val="0"/>
          <c:order val="0"/>
          <c:tx>
            <c:strRef>
              <c:f>Sheet1!$B$1</c:f>
              <c:strCache>
                <c:ptCount val="1"/>
                <c:pt idx="0">
                  <c:v>金额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3"/>
              <c:layout/>
              <c:dLblPos val="inEnd"/>
              <c:showLegendKey val="0"/>
              <c:showVal val="0"/>
              <c:showCatName val="1"/>
              <c:showSerName val="0"/>
              <c:showPercent val="1"/>
              <c:showBubbleSize val="0"/>
              <c:separator> </c:separator>
              <c:extLst>
                <c:ext xmlns:c15="http://schemas.microsoft.com/office/drawing/2012/chart" uri="{CE6537A1-D6FC-4f65-9D91-7224C49458BB}"/>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社会保障和就业支出</c:v>
                </c:pt>
                <c:pt idx="1">
                  <c:v>卫生健康支出</c:v>
                </c:pt>
                <c:pt idx="2">
                  <c:v>资源勘探工业信息等支出</c:v>
                </c:pt>
                <c:pt idx="3">
                  <c:v>住房保障支出</c:v>
                </c:pt>
              </c:strCache>
            </c:strRef>
          </c:cat>
          <c:val>
            <c:numRef>
              <c:f>Sheet1!$B$2:$B$5</c:f>
              <c:numCache>
                <c:formatCode>General</c:formatCode>
                <c:ptCount val="4"/>
                <c:pt idx="0">
                  <c:v>1492.42</c:v>
                </c:pt>
                <c:pt idx="1">
                  <c:v>154</c:v>
                </c:pt>
                <c:pt idx="2">
                  <c:v>2748.36</c:v>
                </c:pt>
                <c:pt idx="3">
                  <c:v>362</c:v>
                </c:pt>
              </c:numCache>
            </c:numRef>
          </c:val>
        </c:ser>
        <c:ser>
          <c:idx val="1"/>
          <c:order val="1"/>
          <c:tx>
            <c:strRef>
              <c:f>Sheet1!#REF!</c:f>
              <c:strCache>
                <c:ptCount val="1"/>
                <c:pt idx="0">
                  <c:v/>
                </c:pt>
              </c:strCache>
            </c:strRef>
          </c:tx>
          <c:spPr/>
          <c:explosion val="0"/>
          <c:dPt>
            <c:idx val="0"/>
            <c:bubble3D val="0"/>
            <c:spPr>
              <a:solidFill>
                <a:schemeClr val="accent1"/>
              </a:solidFill>
              <a:ln w="19050">
                <a:solidFill>
                  <a:schemeClr val="lt1"/>
                </a:solidFill>
              </a:ln>
              <a:effectLst/>
            </c:spPr>
          </c:dPt>
          <c:dLbls>
            <c:dLbl>
              <c:idx val="0"/>
              <c:layout/>
              <c:dLblPos val="inEnd"/>
              <c:showLegendKey val="0"/>
              <c:showVal val="0"/>
              <c:showCatName val="1"/>
              <c:showSerName val="0"/>
              <c:showPercent val="1"/>
              <c:showBubbleSize val="0"/>
              <c:separator> </c:separator>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社会保障和就业支出</c:v>
                </c:pt>
                <c:pt idx="1">
                  <c:v>卫生健康支出</c:v>
                </c:pt>
                <c:pt idx="2">
                  <c:v>资源勘探工业信息等支出</c:v>
                </c:pt>
                <c:pt idx="3">
                  <c:v>住房保障支出</c:v>
                </c:pt>
              </c:strCache>
            </c:strRef>
          </c:cat>
          <c:val>
            <c:numRef>
              <c:f>Sheet1!#REF!</c:f>
              <c:numCache>
                <c:formatCode>General</c:formatCode>
                <c:ptCount val="1"/>
                <c:pt idx="0">
                  <c:v>1</c:v>
                </c:pt>
              </c:numCache>
            </c:numRef>
          </c:val>
        </c:ser>
        <c:ser>
          <c:idx val="2"/>
          <c:order val="2"/>
          <c:tx>
            <c:strRef>
              <c:f>Sheet1!#REF!</c:f>
              <c:strCache>
                <c:ptCount val="1"/>
                <c:pt idx="0">
                  <c:v/>
                </c:pt>
              </c:strCache>
            </c:strRef>
          </c:tx>
          <c:spPr/>
          <c:explosion val="0"/>
          <c:dPt>
            <c:idx val="0"/>
            <c:bubble3D val="0"/>
            <c:spPr>
              <a:solidFill>
                <a:schemeClr val="accent1"/>
              </a:solidFill>
              <a:ln w="19050">
                <a:solidFill>
                  <a:schemeClr val="lt1"/>
                </a:solidFill>
              </a:ln>
              <a:effectLst/>
            </c:spPr>
          </c:dPt>
          <c:dLbls>
            <c:dLbl>
              <c:idx val="0"/>
              <c:layout/>
              <c:dLblPos val="inEnd"/>
              <c:showLegendKey val="0"/>
              <c:showVal val="0"/>
              <c:showCatName val="1"/>
              <c:showSerName val="0"/>
              <c:showPercent val="1"/>
              <c:showBubbleSize val="0"/>
              <c:separator> </c:separator>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社会保障和就业支出</c:v>
                </c:pt>
                <c:pt idx="1">
                  <c:v>卫生健康支出</c:v>
                </c:pt>
                <c:pt idx="2">
                  <c:v>资源勘探工业信息等支出</c:v>
                </c:pt>
                <c:pt idx="3">
                  <c:v>住房保障支出</c:v>
                </c:pt>
              </c:strCache>
            </c:strRef>
          </c:cat>
          <c:val>
            <c:numRef>
              <c:f>Sheet1!#REF!</c:f>
              <c:numCache>
                <c:formatCode>General</c:formatCode>
                <c:ptCount val="1"/>
                <c:pt idx="0">
                  <c:v>1</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Company>四川省财政厅</Company>
  <Pages>21</Pages>
  <Words>5903</Words>
  <Characters>6841</Characters>
  <Lines>61</Lines>
  <Paragraphs>17</Paragraphs>
  <TotalTime>15</TotalTime>
  <ScaleCrop>false</ScaleCrop>
  <LinksUpToDate>false</LinksUpToDate>
  <CharactersWithSpaces>6886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cici</cp:lastModifiedBy>
  <cp:lastPrinted>2022-08-06T02:23:00Z</cp:lastPrinted>
  <dcterms:modified xsi:type="dcterms:W3CDTF">2023-10-11T02:04:47Z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B47170C0C9B6478C9EDD7CBEFDC23C04</vt:lpwstr>
  </property>
</Properties>
</file>